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F04F8" w14:textId="534E7CA7" w:rsidR="00BC5B71" w:rsidRDefault="00BC5B71">
      <w:bookmarkStart w:id="0" w:name="_GoBack"/>
      <w:bookmarkEnd w:id="0"/>
    </w:p>
    <w:p w14:paraId="349A6224" w14:textId="77777777" w:rsidR="00BC5B71" w:rsidRDefault="00BC5B71" w:rsidP="00BC5B71"/>
    <w:p w14:paraId="21B3D83F" w14:textId="77777777" w:rsidR="00BC5B71" w:rsidRDefault="00BC5B71" w:rsidP="00BC5B71"/>
    <w:p w14:paraId="0B7BA236" w14:textId="77777777" w:rsidR="00BC5B71" w:rsidRDefault="00BC5B71" w:rsidP="00BC5B71">
      <w:pPr>
        <w:spacing w:after="887"/>
        <w:ind w:left="142" w:right="3302"/>
        <w:textAlignment w:val="baseline"/>
        <w:rPr>
          <w:sz w:val="36"/>
          <w:szCs w:val="36"/>
        </w:rPr>
      </w:pPr>
      <w:r w:rsidRPr="001375EF">
        <w:rPr>
          <w:rFonts w:cs="Arial"/>
          <w:noProof/>
          <w:sz w:val="36"/>
          <w:szCs w:val="36"/>
        </w:rPr>
        <w:drawing>
          <wp:inline distT="0" distB="0" distL="0" distR="0" wp14:anchorId="307186EE" wp14:editId="0E522770">
            <wp:extent cx="1066800" cy="768350"/>
            <wp:effectExtent l="0" t="0" r="0" b="0"/>
            <wp:docPr id="2" name="Picture 2" descr="Go to the East Sussex County Council public websi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East Sussex County Council public websit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768350"/>
                    </a:xfrm>
                    <a:prstGeom prst="rect">
                      <a:avLst/>
                    </a:prstGeom>
                    <a:noFill/>
                    <a:ln>
                      <a:noFill/>
                    </a:ln>
                  </pic:spPr>
                </pic:pic>
              </a:graphicData>
            </a:graphic>
          </wp:inline>
        </w:drawing>
      </w:r>
    </w:p>
    <w:p w14:paraId="210AA35F" w14:textId="5FCC4203" w:rsidR="00BC5B71" w:rsidRDefault="00BC5B71" w:rsidP="00BC5B71">
      <w:pPr>
        <w:pStyle w:val="aLCPHeading"/>
        <w:rPr>
          <w:sz w:val="36"/>
          <w:szCs w:val="36"/>
        </w:rPr>
      </w:pPr>
      <w:r>
        <w:rPr>
          <w:sz w:val="36"/>
          <w:szCs w:val="36"/>
        </w:rPr>
        <w:t>PAY POLICY</w:t>
      </w:r>
    </w:p>
    <w:p w14:paraId="302A3E5E" w14:textId="77777777" w:rsidR="00BC5B71" w:rsidRDefault="00BC5B71" w:rsidP="00BC5B71">
      <w:pPr>
        <w:pStyle w:val="aLCPHeading"/>
        <w:rPr>
          <w:sz w:val="36"/>
          <w:szCs w:val="36"/>
        </w:rPr>
      </w:pPr>
    </w:p>
    <w:p w14:paraId="5FA7613B" w14:textId="77777777" w:rsidR="00BC5B71" w:rsidRPr="00842196" w:rsidRDefault="00BC5B71" w:rsidP="00BC5B71">
      <w:pPr>
        <w:rPr>
          <w:rFonts w:cs="Arial"/>
          <w:sz w:val="32"/>
          <w:szCs w:val="32"/>
        </w:rPr>
      </w:pPr>
      <w:bookmarkStart w:id="1" w:name="_Hlk484415271"/>
    </w:p>
    <w:p w14:paraId="334A0068" w14:textId="77777777" w:rsidR="00BC5B71" w:rsidRPr="00842196" w:rsidRDefault="00BC5B71" w:rsidP="00BC5B71">
      <w:pPr>
        <w:widowControl w:val="0"/>
        <w:autoSpaceDE w:val="0"/>
        <w:autoSpaceDN w:val="0"/>
        <w:adjustRightInd w:val="0"/>
        <w:jc w:val="center"/>
        <w:rPr>
          <w:rFonts w:cs="Arial"/>
          <w:sz w:val="32"/>
          <w:szCs w:val="32"/>
        </w:rPr>
      </w:pPr>
      <w:r w:rsidRPr="00842196">
        <w:rPr>
          <w:rFonts w:cs="Arial"/>
          <w:noProof/>
          <w:sz w:val="32"/>
          <w:szCs w:val="32"/>
        </w:rPr>
        <w:drawing>
          <wp:inline distT="0" distB="0" distL="0" distR="0" wp14:anchorId="00BFB867" wp14:editId="5611EA2F">
            <wp:extent cx="1311965" cy="6286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2323" cy="633613"/>
                    </a:xfrm>
                    <a:prstGeom prst="rect">
                      <a:avLst/>
                    </a:prstGeom>
                    <a:noFill/>
                    <a:ln>
                      <a:noFill/>
                    </a:ln>
                  </pic:spPr>
                </pic:pic>
              </a:graphicData>
            </a:graphic>
          </wp:inline>
        </w:drawing>
      </w:r>
    </w:p>
    <w:p w14:paraId="38FE65CE" w14:textId="77777777" w:rsidR="00BC5B71" w:rsidRPr="00842196" w:rsidRDefault="00BC5B71" w:rsidP="00BC5B71">
      <w:pPr>
        <w:widowControl w:val="0"/>
        <w:autoSpaceDE w:val="0"/>
        <w:autoSpaceDN w:val="0"/>
        <w:adjustRightInd w:val="0"/>
        <w:jc w:val="center"/>
        <w:rPr>
          <w:rFonts w:cs="Arial"/>
          <w:sz w:val="32"/>
          <w:szCs w:val="32"/>
        </w:rPr>
      </w:pPr>
      <w:r w:rsidRPr="00842196">
        <w:rPr>
          <w:rFonts w:cs="Arial"/>
          <w:noProof/>
          <w:sz w:val="32"/>
          <w:szCs w:val="32"/>
        </w:rPr>
        <w:drawing>
          <wp:inline distT="0" distB="0" distL="0" distR="0" wp14:anchorId="0851F1B5" wp14:editId="4AB26985">
            <wp:extent cx="504825" cy="6342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773" cy="635458"/>
                    </a:xfrm>
                    <a:prstGeom prst="rect">
                      <a:avLst/>
                    </a:prstGeom>
                    <a:noFill/>
                    <a:ln>
                      <a:noFill/>
                    </a:ln>
                  </pic:spPr>
                </pic:pic>
              </a:graphicData>
            </a:graphic>
          </wp:inline>
        </w:drawing>
      </w:r>
      <w:r w:rsidRPr="00842196">
        <w:rPr>
          <w:rFonts w:cs="Arial"/>
          <w:noProof/>
          <w:sz w:val="32"/>
          <w:szCs w:val="32"/>
        </w:rPr>
        <w:drawing>
          <wp:inline distT="0" distB="0" distL="0" distR="0" wp14:anchorId="3986F912" wp14:editId="0A0DF4A5">
            <wp:extent cx="720725" cy="642101"/>
            <wp:effectExtent l="0" t="0" r="317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6724" cy="647446"/>
                    </a:xfrm>
                    <a:prstGeom prst="rect">
                      <a:avLst/>
                    </a:prstGeom>
                    <a:noFill/>
                    <a:ln>
                      <a:noFill/>
                    </a:ln>
                  </pic:spPr>
                </pic:pic>
              </a:graphicData>
            </a:graphic>
          </wp:inline>
        </w:drawing>
      </w:r>
      <w:r w:rsidRPr="00842196">
        <w:rPr>
          <w:rFonts w:cs="Arial"/>
          <w:noProof/>
          <w:color w:val="E33028"/>
          <w:sz w:val="32"/>
          <w:szCs w:val="32"/>
        </w:rPr>
        <w:drawing>
          <wp:inline distT="0" distB="0" distL="0" distR="0" wp14:anchorId="546F0DE5" wp14:editId="4374ED9F">
            <wp:extent cx="581025" cy="638175"/>
            <wp:effectExtent l="0" t="0" r="9525" b="9525"/>
            <wp:docPr id="9" name="Picture 4" descr="path416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416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14:paraId="12946961" w14:textId="77777777" w:rsidR="00BC5B71" w:rsidRPr="00C7653E" w:rsidRDefault="00BC5B71" w:rsidP="00BC5B71">
      <w:pPr>
        <w:widowControl w:val="0"/>
        <w:autoSpaceDE w:val="0"/>
        <w:autoSpaceDN w:val="0"/>
        <w:adjustRightInd w:val="0"/>
        <w:jc w:val="center"/>
        <w:rPr>
          <w:sz w:val="40"/>
          <w:szCs w:val="40"/>
        </w:rPr>
      </w:pPr>
    </w:p>
    <w:p w14:paraId="629B6409" w14:textId="77777777" w:rsidR="00BC5B71" w:rsidRPr="00C7653E" w:rsidRDefault="00BC5B71" w:rsidP="00BC5B71">
      <w:pPr>
        <w:widowControl w:val="0"/>
        <w:autoSpaceDE w:val="0"/>
        <w:autoSpaceDN w:val="0"/>
        <w:adjustRightInd w:val="0"/>
        <w:jc w:val="center"/>
        <w:rPr>
          <w:sz w:val="40"/>
          <w:szCs w:val="40"/>
        </w:rPr>
      </w:pPr>
    </w:p>
    <w:p w14:paraId="7E599724" w14:textId="77777777" w:rsidR="00BC5B71" w:rsidRPr="00C7653E" w:rsidRDefault="00BC5B71" w:rsidP="00BC5B71">
      <w:pPr>
        <w:pStyle w:val="NoSpacing"/>
        <w:jc w:val="center"/>
        <w:rPr>
          <w:rFonts w:ascii="Arial" w:hAnsi="Arial" w:cs="Arial"/>
          <w:b/>
          <w:sz w:val="40"/>
          <w:szCs w:val="40"/>
        </w:rPr>
      </w:pPr>
      <w:bookmarkStart w:id="2" w:name="_Hlk484415536"/>
      <w:bookmarkEnd w:id="1"/>
      <w:r w:rsidRPr="00C7653E">
        <w:rPr>
          <w:rFonts w:ascii="Arial" w:hAnsi="Arial" w:cs="Arial"/>
          <w:b/>
          <w:sz w:val="40"/>
          <w:szCs w:val="40"/>
        </w:rPr>
        <w:t>Barcombe</w:t>
      </w:r>
      <w:r w:rsidRPr="00C7653E">
        <w:rPr>
          <w:rFonts w:ascii="Arial" w:hAnsi="Arial" w:cs="Arial"/>
          <w:b/>
          <w:sz w:val="40"/>
          <w:szCs w:val="40"/>
        </w:rPr>
        <w:tab/>
      </w:r>
      <w:r>
        <w:rPr>
          <w:rFonts w:ascii="Arial" w:hAnsi="Arial" w:cs="Arial"/>
          <w:b/>
          <w:sz w:val="40"/>
          <w:szCs w:val="40"/>
        </w:rPr>
        <w:t xml:space="preserve"> </w:t>
      </w:r>
      <w:r w:rsidRPr="00C7653E">
        <w:rPr>
          <w:rFonts w:ascii="Arial" w:hAnsi="Arial" w:cs="Arial"/>
          <w:b/>
          <w:sz w:val="40"/>
          <w:szCs w:val="40"/>
        </w:rPr>
        <w:t>Hamsey</w:t>
      </w:r>
      <w:r>
        <w:rPr>
          <w:rFonts w:ascii="Arial" w:hAnsi="Arial" w:cs="Arial"/>
          <w:b/>
          <w:sz w:val="40"/>
          <w:szCs w:val="40"/>
        </w:rPr>
        <w:t xml:space="preserve"> </w:t>
      </w:r>
      <w:r w:rsidRPr="00C7653E">
        <w:rPr>
          <w:rFonts w:ascii="Arial" w:hAnsi="Arial" w:cs="Arial"/>
          <w:b/>
          <w:sz w:val="40"/>
          <w:szCs w:val="40"/>
        </w:rPr>
        <w:t>Plumpton</w:t>
      </w:r>
    </w:p>
    <w:bookmarkEnd w:id="2"/>
    <w:p w14:paraId="4E08332B" w14:textId="77777777" w:rsidR="00BC5B71" w:rsidRPr="00C7653E" w:rsidRDefault="00BC5B71" w:rsidP="00BC5B71">
      <w:pPr>
        <w:pStyle w:val="Header"/>
        <w:jc w:val="center"/>
        <w:rPr>
          <w:rFonts w:cs="Arial"/>
          <w:b/>
          <w:sz w:val="40"/>
          <w:szCs w:val="40"/>
        </w:rPr>
      </w:pPr>
      <w:r w:rsidRPr="00C7653E">
        <w:rPr>
          <w:rFonts w:cs="Arial"/>
          <w:b/>
          <w:sz w:val="40"/>
          <w:szCs w:val="40"/>
        </w:rPr>
        <w:t xml:space="preserve">Skylark Federation </w:t>
      </w:r>
    </w:p>
    <w:p w14:paraId="2B9FD276" w14:textId="77777777" w:rsidR="00BC5B71" w:rsidRPr="00C7653E" w:rsidRDefault="00BC5B71" w:rsidP="00BC5B71">
      <w:pPr>
        <w:pStyle w:val="Header"/>
        <w:jc w:val="center"/>
        <w:rPr>
          <w:rFonts w:cs="Arial"/>
          <w:b/>
          <w:sz w:val="40"/>
          <w:szCs w:val="40"/>
        </w:rPr>
      </w:pPr>
    </w:p>
    <w:p w14:paraId="68BBE985" w14:textId="77777777" w:rsidR="00BC5B71" w:rsidRPr="00D96BD4" w:rsidRDefault="00BC5B71" w:rsidP="00BC5B71">
      <w:pPr>
        <w:pStyle w:val="Header"/>
        <w:rPr>
          <w:rFonts w:cs="Arial"/>
          <w:b/>
        </w:rPr>
      </w:pPr>
    </w:p>
    <w:p w14:paraId="0BFA87E9" w14:textId="77777777" w:rsidR="00BC5B71" w:rsidRPr="00C7653E" w:rsidRDefault="00BC5B71" w:rsidP="00BC5B71">
      <w:pPr>
        <w:pStyle w:val="Header"/>
        <w:jc w:val="center"/>
        <w:rPr>
          <w:rFonts w:cs="Arial"/>
          <w:b/>
          <w:sz w:val="36"/>
          <w:szCs w:val="36"/>
        </w:rPr>
      </w:pPr>
    </w:p>
    <w:p w14:paraId="253C9B09" w14:textId="183EC2EB" w:rsidR="00BC5B71" w:rsidRPr="00C7653E" w:rsidRDefault="00BC5B71" w:rsidP="00BC5B71">
      <w:pPr>
        <w:pStyle w:val="Header"/>
        <w:jc w:val="center"/>
        <w:rPr>
          <w:rFonts w:cs="Arial"/>
          <w:b/>
          <w:sz w:val="36"/>
          <w:szCs w:val="36"/>
        </w:rPr>
      </w:pPr>
      <w:r>
        <w:rPr>
          <w:rFonts w:cs="Arial"/>
          <w:b/>
          <w:sz w:val="36"/>
          <w:szCs w:val="36"/>
        </w:rPr>
        <w:t>Approved:</w:t>
      </w:r>
      <w:r w:rsidRPr="00C7653E">
        <w:rPr>
          <w:rFonts w:cs="Arial"/>
          <w:b/>
          <w:sz w:val="36"/>
          <w:szCs w:val="36"/>
        </w:rPr>
        <w:t xml:space="preserve"> </w:t>
      </w:r>
      <w:r>
        <w:rPr>
          <w:rFonts w:cs="Arial"/>
          <w:b/>
          <w:sz w:val="36"/>
          <w:szCs w:val="36"/>
        </w:rPr>
        <w:t>19.11.20</w:t>
      </w:r>
    </w:p>
    <w:p w14:paraId="21147440" w14:textId="3807C584" w:rsidR="00BC5B71" w:rsidRDefault="00BC5B71" w:rsidP="00BC5B71">
      <w:pPr>
        <w:pStyle w:val="Header"/>
        <w:jc w:val="center"/>
        <w:rPr>
          <w:rFonts w:cs="Arial"/>
          <w:b/>
          <w:sz w:val="36"/>
          <w:szCs w:val="36"/>
        </w:rPr>
      </w:pPr>
      <w:r w:rsidRPr="00C7653E">
        <w:rPr>
          <w:rFonts w:cs="Arial"/>
          <w:b/>
          <w:sz w:val="36"/>
          <w:szCs w:val="36"/>
        </w:rPr>
        <w:t xml:space="preserve">Next review: </w:t>
      </w:r>
      <w:r>
        <w:rPr>
          <w:rFonts w:cs="Arial"/>
          <w:b/>
          <w:sz w:val="36"/>
          <w:szCs w:val="36"/>
        </w:rPr>
        <w:t>Autumn 2021</w:t>
      </w:r>
    </w:p>
    <w:p w14:paraId="2C27B0A3" w14:textId="77777777" w:rsidR="00BC5B71" w:rsidRPr="00842196" w:rsidRDefault="00BC5B71" w:rsidP="00BC5B71">
      <w:pPr>
        <w:rPr>
          <w:rFonts w:cs="Arial"/>
          <w:sz w:val="28"/>
          <w:szCs w:val="28"/>
        </w:rPr>
      </w:pPr>
    </w:p>
    <w:p w14:paraId="09B0284C" w14:textId="77777777" w:rsidR="00BC5B71" w:rsidRPr="00842196" w:rsidRDefault="00BC5B71" w:rsidP="00BC5B71">
      <w:pPr>
        <w:jc w:val="center"/>
        <w:rPr>
          <w:rFonts w:cs="Arial"/>
          <w:sz w:val="28"/>
          <w:szCs w:val="28"/>
        </w:rPr>
      </w:pPr>
    </w:p>
    <w:p w14:paraId="46069F3C" w14:textId="77777777" w:rsidR="00BC5B71" w:rsidRPr="00842196" w:rsidRDefault="00BC5B71" w:rsidP="00BC5B71">
      <w:pPr>
        <w:jc w:val="center"/>
        <w:rPr>
          <w:rFonts w:cs="Arial"/>
          <w:sz w:val="28"/>
          <w:szCs w:val="28"/>
        </w:rPr>
      </w:pPr>
      <w:r w:rsidRPr="00842196">
        <w:rPr>
          <w:rFonts w:cs="Arial"/>
          <w:sz w:val="28"/>
          <w:szCs w:val="28"/>
        </w:rPr>
        <w:t>Signed ..................................</w:t>
      </w:r>
      <w:r w:rsidRPr="00842196">
        <w:rPr>
          <w:rFonts w:cs="Arial"/>
          <w:sz w:val="28"/>
          <w:szCs w:val="28"/>
        </w:rPr>
        <w:tab/>
        <w:t>Chair of Governors        Date ………………</w:t>
      </w:r>
    </w:p>
    <w:p w14:paraId="0717A069" w14:textId="77777777" w:rsidR="00BC5B71" w:rsidRPr="00842196" w:rsidRDefault="00BC5B71" w:rsidP="00BC5B71">
      <w:pPr>
        <w:spacing w:line="480" w:lineRule="atLeast"/>
        <w:jc w:val="center"/>
        <w:rPr>
          <w:rFonts w:cs="Arial"/>
          <w:sz w:val="28"/>
          <w:szCs w:val="28"/>
        </w:rPr>
      </w:pPr>
      <w:r w:rsidRPr="00842196">
        <w:rPr>
          <w:rFonts w:cs="Arial"/>
          <w:sz w:val="28"/>
          <w:szCs w:val="28"/>
        </w:rPr>
        <w:t>Signed .................................</w:t>
      </w:r>
      <w:r w:rsidRPr="00842196">
        <w:rPr>
          <w:rFonts w:cs="Arial"/>
          <w:sz w:val="28"/>
          <w:szCs w:val="28"/>
        </w:rPr>
        <w:tab/>
        <w:t>Executive Headteacher Date ………………</w:t>
      </w:r>
    </w:p>
    <w:p w14:paraId="0510F55A" w14:textId="77777777" w:rsidR="00BC5B71" w:rsidRDefault="00BC5B71"/>
    <w:tbl>
      <w:tblPr>
        <w:tblW w:w="0" w:type="auto"/>
        <w:tblLook w:val="00A0" w:firstRow="1" w:lastRow="0" w:firstColumn="1" w:lastColumn="0" w:noHBand="0" w:noVBand="0"/>
      </w:tblPr>
      <w:tblGrid>
        <w:gridCol w:w="7832"/>
        <w:gridCol w:w="1807"/>
      </w:tblGrid>
      <w:tr w:rsidR="001C1476" w:rsidRPr="0029565F" w14:paraId="55E6CFD9" w14:textId="77777777" w:rsidTr="00BC5B71">
        <w:tc>
          <w:tcPr>
            <w:tcW w:w="7832" w:type="dxa"/>
            <w:tcMar>
              <w:bottom w:w="240" w:type="dxa"/>
            </w:tcMar>
            <w:vAlign w:val="center"/>
          </w:tcPr>
          <w:p w14:paraId="31E0D04B" w14:textId="63C70E30" w:rsidR="001C1476" w:rsidRPr="0029565F" w:rsidRDefault="00CA1442" w:rsidP="007E6B3B">
            <w:pPr>
              <w:keepLines/>
              <w:tabs>
                <w:tab w:val="right" w:pos="9639"/>
              </w:tabs>
              <w:spacing w:after="0"/>
              <w:rPr>
                <w:b/>
                <w:sz w:val="40"/>
              </w:rPr>
            </w:pPr>
            <w:bookmarkStart w:id="3" w:name="_Toc215309865"/>
            <w:bookmarkStart w:id="4" w:name="_Toc215309939"/>
            <w:bookmarkStart w:id="5" w:name="_Toc215311878"/>
            <w:bookmarkStart w:id="6" w:name="_Toc215313557"/>
            <w:bookmarkStart w:id="7" w:name="_Toc215313760"/>
            <w:bookmarkStart w:id="8" w:name="_Toc215315798"/>
            <w:bookmarkStart w:id="9" w:name="_Toc216149052"/>
            <w:bookmarkStart w:id="10" w:name="_Toc216152675"/>
            <w:bookmarkStart w:id="11" w:name="_Toc216520257"/>
            <w:bookmarkStart w:id="12" w:name="_Toc224455254"/>
            <w:bookmarkStart w:id="13" w:name="_Toc224456966"/>
            <w:bookmarkStart w:id="14" w:name="_Toc224457095"/>
            <w:bookmarkStart w:id="15" w:name="_Toc224457309"/>
            <w:bookmarkStart w:id="16" w:name="_Toc224457337"/>
            <w:bookmarkStart w:id="17" w:name="_Toc224457636"/>
            <w:bookmarkStart w:id="18" w:name="_Toc224458145"/>
            <w:bookmarkStart w:id="19" w:name="_Toc224458670"/>
            <w:bookmarkStart w:id="20" w:name="_Toc224458788"/>
            <w:bookmarkStart w:id="21" w:name="_Toc224460437"/>
            <w:bookmarkStart w:id="22" w:name="_Toc224460670"/>
            <w:bookmarkStart w:id="23" w:name="_Toc224461435"/>
            <w:bookmarkStart w:id="24" w:name="_Toc225570675"/>
            <w:bookmarkStart w:id="25" w:name="_Toc225570779"/>
            <w:bookmarkStart w:id="26" w:name="_Toc225575421"/>
            <w:bookmarkStart w:id="27" w:name="_Toc225575850"/>
            <w:r>
              <w:rPr>
                <w:b/>
                <w:sz w:val="40"/>
              </w:rPr>
              <w:lastRenderedPageBreak/>
              <w:t>Skylark Federation</w:t>
            </w:r>
            <w:r w:rsidR="00DB31F7" w:rsidRPr="009B7634">
              <w:rPr>
                <w:b/>
                <w:sz w:val="40"/>
              </w:rPr>
              <w:t xml:space="preserve"> </w:t>
            </w:r>
            <w:r w:rsidR="00CE5755">
              <w:rPr>
                <w:b/>
                <w:sz w:val="40"/>
              </w:rPr>
              <w:t>P</w:t>
            </w:r>
            <w:r w:rsidR="00DB31F7" w:rsidRPr="009B7634">
              <w:rPr>
                <w:b/>
                <w:sz w:val="40"/>
              </w:rPr>
              <w:t xml:space="preserve">ay </w:t>
            </w:r>
            <w:r w:rsidR="00CE5755">
              <w:rPr>
                <w:b/>
                <w:sz w:val="40"/>
              </w:rPr>
              <w:t>P</w:t>
            </w:r>
            <w:r w:rsidR="00DB31F7" w:rsidRPr="009B7634">
              <w:rPr>
                <w:b/>
                <w:sz w:val="40"/>
              </w:rPr>
              <w:t>olicy</w:t>
            </w:r>
            <w:r w:rsidR="007A07CD" w:rsidRPr="009B7634">
              <w:rPr>
                <w:b/>
                <w:sz w:val="40"/>
              </w:rPr>
              <w:t xml:space="preserve"> </w:t>
            </w:r>
            <w:r w:rsidR="00B87458" w:rsidRPr="009B7634">
              <w:rPr>
                <w:b/>
                <w:sz w:val="40"/>
              </w:rPr>
              <w:t>20</w:t>
            </w:r>
            <w:r w:rsidR="001A5560" w:rsidRPr="009B7634">
              <w:rPr>
                <w:b/>
                <w:sz w:val="40"/>
              </w:rPr>
              <w:t>20</w:t>
            </w:r>
            <w:r w:rsidR="005C62DA" w:rsidRPr="009B7634">
              <w:rPr>
                <w:b/>
                <w:sz w:val="40"/>
              </w:rPr>
              <w:t>-</w:t>
            </w:r>
            <w:r w:rsidR="007E6B3B" w:rsidRPr="009B7634">
              <w:rPr>
                <w:b/>
                <w:sz w:val="40"/>
              </w:rPr>
              <w:t>2</w:t>
            </w:r>
            <w:r w:rsidR="001A5560" w:rsidRPr="009B7634">
              <w:rPr>
                <w:b/>
                <w:sz w:val="40"/>
              </w:rPr>
              <w:t>1</w:t>
            </w:r>
          </w:p>
        </w:tc>
        <w:tc>
          <w:tcPr>
            <w:tcW w:w="1807" w:type="dxa"/>
          </w:tcPr>
          <w:p w14:paraId="18A39062" w14:textId="77777777" w:rsidR="001C1476" w:rsidRPr="0029565F" w:rsidRDefault="00853C5F" w:rsidP="00123405">
            <w:pPr>
              <w:keepLines/>
              <w:tabs>
                <w:tab w:val="right" w:pos="9639"/>
              </w:tabs>
              <w:jc w:val="right"/>
              <w:rPr>
                <w:b/>
                <w:sz w:val="40"/>
              </w:rPr>
            </w:pPr>
            <w:r>
              <w:rPr>
                <w:b/>
                <w:noProof/>
                <w:position w:val="-24"/>
                <w:sz w:val="40"/>
                <w:szCs w:val="40"/>
              </w:rPr>
              <w:drawing>
                <wp:inline distT="0" distB="0" distL="0" distR="0" wp14:anchorId="134B00C5" wp14:editId="3F693FF0">
                  <wp:extent cx="969010" cy="750570"/>
                  <wp:effectExtent l="0" t="0" r="2540" b="0"/>
                  <wp:docPr id="1" name="Picture 1" descr="East Sussex County Council logo.  Click here to go to East Sussex Internet si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Sussex County Council logo.  Click here to go to East Sussex Internet site"/>
                          <pic:cNvPicPr>
                            <a:picLocks noChangeAspect="1" noChangeArrowheads="1"/>
                          </pic:cNvPicPr>
                        </pic:nvPicPr>
                        <pic:blipFill>
                          <a:blip r:embed="rId20">
                            <a:extLst>
                              <a:ext uri="{28A0092B-C50C-407E-A947-70E740481C1C}">
                                <a14:useLocalDpi xmlns:a14="http://schemas.microsoft.com/office/drawing/2010/main" val="0"/>
                              </a:ext>
                            </a:extLst>
                          </a:blip>
                          <a:srcRect t="-8220"/>
                          <a:stretch>
                            <a:fillRect/>
                          </a:stretch>
                        </pic:blipFill>
                        <pic:spPr bwMode="auto">
                          <a:xfrm>
                            <a:off x="0" y="0"/>
                            <a:ext cx="969010" cy="750570"/>
                          </a:xfrm>
                          <a:prstGeom prst="rect">
                            <a:avLst/>
                          </a:prstGeom>
                          <a:noFill/>
                          <a:ln>
                            <a:noFill/>
                          </a:ln>
                        </pic:spPr>
                      </pic:pic>
                    </a:graphicData>
                  </a:graphic>
                </wp:inline>
              </w:drawing>
            </w:r>
          </w:p>
        </w:tc>
      </w:tr>
    </w:tbl>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12C0A648" w14:textId="7636DD98" w:rsidR="00932E0A" w:rsidRPr="0029565F" w:rsidRDefault="00932E0A" w:rsidP="00123405">
      <w:pPr>
        <w:keepLines/>
        <w:rPr>
          <w:sz w:val="28"/>
          <w:szCs w:val="28"/>
        </w:rPr>
      </w:pPr>
      <w:r w:rsidRPr="0029565F">
        <w:rPr>
          <w:b/>
          <w:sz w:val="28"/>
          <w:szCs w:val="28"/>
        </w:rPr>
        <w:t xml:space="preserve">Date:  </w:t>
      </w:r>
      <w:r w:rsidR="00392467">
        <w:rPr>
          <w:sz w:val="28"/>
          <w:szCs w:val="28"/>
        </w:rPr>
        <w:t>September</w:t>
      </w:r>
      <w:r w:rsidR="00E01323" w:rsidRPr="0029565F">
        <w:rPr>
          <w:sz w:val="28"/>
          <w:szCs w:val="28"/>
        </w:rPr>
        <w:t xml:space="preserve"> 20</w:t>
      </w:r>
      <w:r w:rsidR="001A5560">
        <w:rPr>
          <w:sz w:val="28"/>
          <w:szCs w:val="28"/>
        </w:rPr>
        <w:t>20</w:t>
      </w:r>
    </w:p>
    <w:p w14:paraId="03B7C198" w14:textId="77777777" w:rsidR="00932E0A" w:rsidRPr="0029565F" w:rsidRDefault="00932E0A" w:rsidP="00123405">
      <w:pPr>
        <w:keepLines/>
        <w:spacing w:before="300"/>
        <w:rPr>
          <w:b/>
          <w:sz w:val="28"/>
          <w:szCs w:val="28"/>
        </w:rPr>
      </w:pPr>
      <w:r w:rsidRPr="0029565F">
        <w:rPr>
          <w:b/>
          <w:sz w:val="28"/>
          <w:szCs w:val="28"/>
        </w:rPr>
        <w:t>Document summary</w:t>
      </w:r>
    </w:p>
    <w:p w14:paraId="3B8AA8DB" w14:textId="78CDF9CA" w:rsidR="00DB31F7" w:rsidRPr="0029565F" w:rsidRDefault="00DB31F7" w:rsidP="00DB31F7">
      <w:pPr>
        <w:rPr>
          <w:rFonts w:cs="Arial"/>
        </w:rPr>
      </w:pPr>
      <w:r w:rsidRPr="0029565F">
        <w:rPr>
          <w:rFonts w:cs="Arial"/>
        </w:rPr>
        <w:t xml:space="preserve">Every school is required to have a pay policy which sets out how teachers’ pay is determined. </w:t>
      </w:r>
    </w:p>
    <w:p w14:paraId="517C9BB8" w14:textId="04ACEB5D" w:rsidR="00BC0667" w:rsidRPr="0029565F" w:rsidRDefault="00866B25" w:rsidP="00123405">
      <w:pPr>
        <w:keepLines/>
        <w:spacing w:before="300"/>
        <w:rPr>
          <w:b/>
          <w:sz w:val="28"/>
          <w:szCs w:val="28"/>
        </w:rPr>
      </w:pPr>
      <w:r w:rsidRPr="0029565F">
        <w:rPr>
          <w:b/>
          <w:sz w:val="28"/>
          <w:szCs w:val="28"/>
        </w:rPr>
        <w:t>Co</w:t>
      </w:r>
      <w:r w:rsidR="00121E25" w:rsidRPr="0029565F">
        <w:rPr>
          <w:b/>
          <w:sz w:val="28"/>
          <w:szCs w:val="28"/>
        </w:rPr>
        <w:t>ntents</w:t>
      </w:r>
    </w:p>
    <w:p w14:paraId="2A5A9129" w14:textId="0E9F8D7D" w:rsidR="00C152E3" w:rsidRDefault="007870AC">
      <w:pPr>
        <w:pStyle w:val="TOC2"/>
        <w:rPr>
          <w:rFonts w:asciiTheme="minorHAnsi" w:eastAsiaTheme="minorEastAsia" w:hAnsiTheme="minorHAnsi" w:cstheme="minorBidi"/>
          <w:sz w:val="22"/>
          <w:szCs w:val="22"/>
        </w:rPr>
      </w:pPr>
      <w:r w:rsidRPr="0029565F">
        <w:fldChar w:fldCharType="begin"/>
      </w:r>
      <w:r w:rsidRPr="0029565F">
        <w:instrText xml:space="preserve"> TOC \o "1-2" \h \z \u </w:instrText>
      </w:r>
      <w:r w:rsidRPr="0029565F">
        <w:fldChar w:fldCharType="separate"/>
      </w:r>
      <w:hyperlink w:anchor="_Toc54700377" w:history="1">
        <w:r w:rsidR="00C152E3" w:rsidRPr="00DE50D7">
          <w:rPr>
            <w:rStyle w:val="Hyperlink"/>
          </w:rPr>
          <w:t>Introduction</w:t>
        </w:r>
        <w:r w:rsidR="00C152E3">
          <w:rPr>
            <w:webHidden/>
          </w:rPr>
          <w:tab/>
        </w:r>
        <w:r w:rsidR="00C152E3">
          <w:rPr>
            <w:webHidden/>
          </w:rPr>
          <w:fldChar w:fldCharType="begin"/>
        </w:r>
        <w:r w:rsidR="00C152E3">
          <w:rPr>
            <w:webHidden/>
          </w:rPr>
          <w:instrText xml:space="preserve"> PAGEREF _Toc54700377 \h </w:instrText>
        </w:r>
        <w:r w:rsidR="00C152E3">
          <w:rPr>
            <w:webHidden/>
          </w:rPr>
        </w:r>
        <w:r w:rsidR="00C152E3">
          <w:rPr>
            <w:webHidden/>
          </w:rPr>
          <w:fldChar w:fldCharType="separate"/>
        </w:r>
        <w:r w:rsidR="006C719D">
          <w:rPr>
            <w:webHidden/>
          </w:rPr>
          <w:t>4</w:t>
        </w:r>
        <w:r w:rsidR="00C152E3">
          <w:rPr>
            <w:webHidden/>
          </w:rPr>
          <w:fldChar w:fldCharType="end"/>
        </w:r>
      </w:hyperlink>
    </w:p>
    <w:p w14:paraId="6F7FAD28" w14:textId="1C577E18" w:rsidR="00C152E3" w:rsidRDefault="00823037">
      <w:pPr>
        <w:pStyle w:val="TOC2"/>
        <w:rPr>
          <w:rFonts w:asciiTheme="minorHAnsi" w:eastAsiaTheme="minorEastAsia" w:hAnsiTheme="minorHAnsi" w:cstheme="minorBidi"/>
          <w:sz w:val="22"/>
          <w:szCs w:val="22"/>
        </w:rPr>
      </w:pPr>
      <w:hyperlink w:anchor="_Toc54700378" w:history="1">
        <w:r w:rsidR="00C152E3" w:rsidRPr="00DE50D7">
          <w:rPr>
            <w:rStyle w:val="Hyperlink"/>
          </w:rPr>
          <w:t>Performance pay</w:t>
        </w:r>
        <w:r w:rsidR="00C152E3">
          <w:rPr>
            <w:webHidden/>
          </w:rPr>
          <w:tab/>
        </w:r>
        <w:r w:rsidR="00C152E3">
          <w:rPr>
            <w:webHidden/>
          </w:rPr>
          <w:fldChar w:fldCharType="begin"/>
        </w:r>
        <w:r w:rsidR="00C152E3">
          <w:rPr>
            <w:webHidden/>
          </w:rPr>
          <w:instrText xml:space="preserve"> PAGEREF _Toc54700378 \h </w:instrText>
        </w:r>
        <w:r w:rsidR="00C152E3">
          <w:rPr>
            <w:webHidden/>
          </w:rPr>
        </w:r>
        <w:r w:rsidR="00C152E3">
          <w:rPr>
            <w:webHidden/>
          </w:rPr>
          <w:fldChar w:fldCharType="separate"/>
        </w:r>
        <w:r w:rsidR="006C719D">
          <w:rPr>
            <w:webHidden/>
          </w:rPr>
          <w:t>7</w:t>
        </w:r>
        <w:r w:rsidR="00C152E3">
          <w:rPr>
            <w:webHidden/>
          </w:rPr>
          <w:fldChar w:fldCharType="end"/>
        </w:r>
      </w:hyperlink>
    </w:p>
    <w:p w14:paraId="1022BA84" w14:textId="354AC1FC" w:rsidR="00C152E3" w:rsidRDefault="00823037">
      <w:pPr>
        <w:pStyle w:val="TOC2"/>
        <w:rPr>
          <w:rFonts w:asciiTheme="minorHAnsi" w:eastAsiaTheme="minorEastAsia" w:hAnsiTheme="minorHAnsi" w:cstheme="minorBidi"/>
          <w:sz w:val="22"/>
          <w:szCs w:val="22"/>
        </w:rPr>
      </w:pPr>
      <w:hyperlink w:anchor="_Toc54700379" w:history="1">
        <w:r w:rsidR="00C152E3" w:rsidRPr="00DE50D7">
          <w:rPr>
            <w:rStyle w:val="Hyperlink"/>
          </w:rPr>
          <w:t>Main pay range for teachers</w:t>
        </w:r>
        <w:r w:rsidR="00C152E3">
          <w:rPr>
            <w:webHidden/>
          </w:rPr>
          <w:tab/>
        </w:r>
        <w:r w:rsidR="00C152E3">
          <w:rPr>
            <w:webHidden/>
          </w:rPr>
          <w:fldChar w:fldCharType="begin"/>
        </w:r>
        <w:r w:rsidR="00C152E3">
          <w:rPr>
            <w:webHidden/>
          </w:rPr>
          <w:instrText xml:space="preserve"> PAGEREF _Toc54700379 \h </w:instrText>
        </w:r>
        <w:r w:rsidR="00C152E3">
          <w:rPr>
            <w:webHidden/>
          </w:rPr>
        </w:r>
        <w:r w:rsidR="00C152E3">
          <w:rPr>
            <w:webHidden/>
          </w:rPr>
          <w:fldChar w:fldCharType="separate"/>
        </w:r>
        <w:r w:rsidR="006C719D">
          <w:rPr>
            <w:webHidden/>
          </w:rPr>
          <w:t>9</w:t>
        </w:r>
        <w:r w:rsidR="00C152E3">
          <w:rPr>
            <w:webHidden/>
          </w:rPr>
          <w:fldChar w:fldCharType="end"/>
        </w:r>
      </w:hyperlink>
    </w:p>
    <w:p w14:paraId="1F5A0B7C" w14:textId="0593E9CE" w:rsidR="00C152E3" w:rsidRDefault="00823037">
      <w:pPr>
        <w:pStyle w:val="TOC2"/>
        <w:rPr>
          <w:rFonts w:asciiTheme="minorHAnsi" w:eastAsiaTheme="minorEastAsia" w:hAnsiTheme="minorHAnsi" w:cstheme="minorBidi"/>
          <w:sz w:val="22"/>
          <w:szCs w:val="22"/>
        </w:rPr>
      </w:pPr>
      <w:hyperlink w:anchor="_Toc54700380" w:history="1">
        <w:r w:rsidR="00C152E3" w:rsidRPr="00DE50D7">
          <w:rPr>
            <w:rStyle w:val="Hyperlink"/>
          </w:rPr>
          <w:t>Upper pay range for teachers</w:t>
        </w:r>
        <w:r w:rsidR="00C152E3">
          <w:rPr>
            <w:webHidden/>
          </w:rPr>
          <w:tab/>
        </w:r>
        <w:r w:rsidR="00C152E3">
          <w:rPr>
            <w:webHidden/>
          </w:rPr>
          <w:fldChar w:fldCharType="begin"/>
        </w:r>
        <w:r w:rsidR="00C152E3">
          <w:rPr>
            <w:webHidden/>
          </w:rPr>
          <w:instrText xml:space="preserve"> PAGEREF _Toc54700380 \h </w:instrText>
        </w:r>
        <w:r w:rsidR="00C152E3">
          <w:rPr>
            <w:webHidden/>
          </w:rPr>
        </w:r>
        <w:r w:rsidR="00C152E3">
          <w:rPr>
            <w:webHidden/>
          </w:rPr>
          <w:fldChar w:fldCharType="separate"/>
        </w:r>
        <w:r w:rsidR="006C719D">
          <w:rPr>
            <w:webHidden/>
          </w:rPr>
          <w:t>10</w:t>
        </w:r>
        <w:r w:rsidR="00C152E3">
          <w:rPr>
            <w:webHidden/>
          </w:rPr>
          <w:fldChar w:fldCharType="end"/>
        </w:r>
      </w:hyperlink>
    </w:p>
    <w:p w14:paraId="5C7749FE" w14:textId="5F240E30" w:rsidR="00C152E3" w:rsidRDefault="00823037">
      <w:pPr>
        <w:pStyle w:val="TOC2"/>
        <w:rPr>
          <w:rFonts w:asciiTheme="minorHAnsi" w:eastAsiaTheme="minorEastAsia" w:hAnsiTheme="minorHAnsi" w:cstheme="minorBidi"/>
          <w:sz w:val="22"/>
          <w:szCs w:val="22"/>
        </w:rPr>
      </w:pPr>
      <w:hyperlink w:anchor="_Toc54700381" w:history="1">
        <w:r w:rsidR="00C152E3" w:rsidRPr="00DE50D7">
          <w:rPr>
            <w:rStyle w:val="Hyperlink"/>
          </w:rPr>
          <w:t>Leading practitioners</w:t>
        </w:r>
        <w:r w:rsidR="00C152E3">
          <w:rPr>
            <w:webHidden/>
          </w:rPr>
          <w:tab/>
        </w:r>
        <w:r w:rsidR="00C152E3">
          <w:rPr>
            <w:webHidden/>
          </w:rPr>
          <w:fldChar w:fldCharType="begin"/>
        </w:r>
        <w:r w:rsidR="00C152E3">
          <w:rPr>
            <w:webHidden/>
          </w:rPr>
          <w:instrText xml:space="preserve"> PAGEREF _Toc54700381 \h </w:instrText>
        </w:r>
        <w:r w:rsidR="00C152E3">
          <w:rPr>
            <w:webHidden/>
          </w:rPr>
        </w:r>
        <w:r w:rsidR="00C152E3">
          <w:rPr>
            <w:webHidden/>
          </w:rPr>
          <w:fldChar w:fldCharType="separate"/>
        </w:r>
        <w:r w:rsidR="006C719D">
          <w:rPr>
            <w:webHidden/>
          </w:rPr>
          <w:t>12</w:t>
        </w:r>
        <w:r w:rsidR="00C152E3">
          <w:rPr>
            <w:webHidden/>
          </w:rPr>
          <w:fldChar w:fldCharType="end"/>
        </w:r>
      </w:hyperlink>
    </w:p>
    <w:p w14:paraId="675E8D15" w14:textId="2F448B5A" w:rsidR="00C152E3" w:rsidRDefault="00823037">
      <w:pPr>
        <w:pStyle w:val="TOC2"/>
        <w:rPr>
          <w:rFonts w:asciiTheme="minorHAnsi" w:eastAsiaTheme="minorEastAsia" w:hAnsiTheme="minorHAnsi" w:cstheme="minorBidi"/>
          <w:sz w:val="22"/>
          <w:szCs w:val="22"/>
        </w:rPr>
      </w:pPr>
      <w:hyperlink w:anchor="_Toc54700382" w:history="1">
        <w:r w:rsidR="00C152E3" w:rsidRPr="00DE50D7">
          <w:rPr>
            <w:rStyle w:val="Hyperlink"/>
          </w:rPr>
          <w:t>Unqualified pay range for teachers</w:t>
        </w:r>
        <w:r w:rsidR="00C152E3">
          <w:rPr>
            <w:webHidden/>
          </w:rPr>
          <w:tab/>
        </w:r>
        <w:r w:rsidR="00C152E3">
          <w:rPr>
            <w:webHidden/>
          </w:rPr>
          <w:fldChar w:fldCharType="begin"/>
        </w:r>
        <w:r w:rsidR="00C152E3">
          <w:rPr>
            <w:webHidden/>
          </w:rPr>
          <w:instrText xml:space="preserve"> PAGEREF _Toc54700382 \h </w:instrText>
        </w:r>
        <w:r w:rsidR="00C152E3">
          <w:rPr>
            <w:webHidden/>
          </w:rPr>
        </w:r>
        <w:r w:rsidR="00C152E3">
          <w:rPr>
            <w:webHidden/>
          </w:rPr>
          <w:fldChar w:fldCharType="separate"/>
        </w:r>
        <w:r w:rsidR="006C719D">
          <w:rPr>
            <w:webHidden/>
          </w:rPr>
          <w:t>12</w:t>
        </w:r>
        <w:r w:rsidR="00C152E3">
          <w:rPr>
            <w:webHidden/>
          </w:rPr>
          <w:fldChar w:fldCharType="end"/>
        </w:r>
      </w:hyperlink>
      <w:r w:rsidR="00810D9F">
        <w:t>1</w:t>
      </w:r>
    </w:p>
    <w:p w14:paraId="3157497A" w14:textId="495C9524" w:rsidR="00C152E3" w:rsidRDefault="00823037">
      <w:pPr>
        <w:pStyle w:val="TOC2"/>
        <w:rPr>
          <w:rFonts w:asciiTheme="minorHAnsi" w:eastAsiaTheme="minorEastAsia" w:hAnsiTheme="minorHAnsi" w:cstheme="minorBidi"/>
          <w:sz w:val="22"/>
          <w:szCs w:val="22"/>
        </w:rPr>
      </w:pPr>
      <w:hyperlink w:anchor="_Toc54700383" w:history="1">
        <w:r w:rsidR="00C152E3" w:rsidRPr="00DE50D7">
          <w:rPr>
            <w:rStyle w:val="Hyperlink"/>
          </w:rPr>
          <w:t>Part time and supply teachers</w:t>
        </w:r>
        <w:r w:rsidR="00C152E3">
          <w:rPr>
            <w:webHidden/>
          </w:rPr>
          <w:tab/>
        </w:r>
        <w:r w:rsidR="00C152E3">
          <w:rPr>
            <w:webHidden/>
          </w:rPr>
          <w:fldChar w:fldCharType="begin"/>
        </w:r>
        <w:r w:rsidR="00C152E3">
          <w:rPr>
            <w:webHidden/>
          </w:rPr>
          <w:instrText xml:space="preserve"> PAGEREF _Toc54700383 \h </w:instrText>
        </w:r>
        <w:r w:rsidR="00C152E3">
          <w:rPr>
            <w:webHidden/>
          </w:rPr>
        </w:r>
        <w:r w:rsidR="00C152E3">
          <w:rPr>
            <w:webHidden/>
          </w:rPr>
          <w:fldChar w:fldCharType="separate"/>
        </w:r>
        <w:r w:rsidR="006C719D">
          <w:rPr>
            <w:webHidden/>
          </w:rPr>
          <w:t>14</w:t>
        </w:r>
        <w:r w:rsidR="00C152E3">
          <w:rPr>
            <w:webHidden/>
          </w:rPr>
          <w:fldChar w:fldCharType="end"/>
        </w:r>
      </w:hyperlink>
    </w:p>
    <w:p w14:paraId="7CAAA7E8" w14:textId="42552776" w:rsidR="00C152E3" w:rsidRDefault="00823037">
      <w:pPr>
        <w:pStyle w:val="TOC2"/>
        <w:rPr>
          <w:rFonts w:asciiTheme="minorHAnsi" w:eastAsiaTheme="minorEastAsia" w:hAnsiTheme="minorHAnsi" w:cstheme="minorBidi"/>
          <w:sz w:val="22"/>
          <w:szCs w:val="22"/>
        </w:rPr>
      </w:pPr>
      <w:hyperlink w:anchor="_Toc54700384" w:history="1">
        <w:r w:rsidR="00C152E3" w:rsidRPr="00DE50D7">
          <w:rPr>
            <w:rStyle w:val="Hyperlink"/>
          </w:rPr>
          <w:t>Allowances and other payments for classroom teachers</w:t>
        </w:r>
        <w:r w:rsidR="00C152E3">
          <w:rPr>
            <w:webHidden/>
          </w:rPr>
          <w:tab/>
        </w:r>
        <w:r w:rsidR="00C152E3">
          <w:rPr>
            <w:webHidden/>
          </w:rPr>
          <w:fldChar w:fldCharType="begin"/>
        </w:r>
        <w:r w:rsidR="00C152E3">
          <w:rPr>
            <w:webHidden/>
          </w:rPr>
          <w:instrText xml:space="preserve"> PAGEREF _Toc54700384 \h </w:instrText>
        </w:r>
        <w:r w:rsidR="00C152E3">
          <w:rPr>
            <w:webHidden/>
          </w:rPr>
        </w:r>
        <w:r w:rsidR="00C152E3">
          <w:rPr>
            <w:webHidden/>
          </w:rPr>
          <w:fldChar w:fldCharType="separate"/>
        </w:r>
        <w:r w:rsidR="006C719D">
          <w:rPr>
            <w:webHidden/>
          </w:rPr>
          <w:t>14</w:t>
        </w:r>
        <w:r w:rsidR="00C152E3">
          <w:rPr>
            <w:webHidden/>
          </w:rPr>
          <w:fldChar w:fldCharType="end"/>
        </w:r>
      </w:hyperlink>
    </w:p>
    <w:p w14:paraId="39F86046" w14:textId="07BD07F3" w:rsidR="00C152E3" w:rsidRDefault="00823037">
      <w:pPr>
        <w:pStyle w:val="TOC2"/>
        <w:rPr>
          <w:rFonts w:asciiTheme="minorHAnsi" w:eastAsiaTheme="minorEastAsia" w:hAnsiTheme="minorHAnsi" w:cstheme="minorBidi"/>
          <w:sz w:val="22"/>
          <w:szCs w:val="22"/>
        </w:rPr>
      </w:pPr>
      <w:hyperlink w:anchor="_Toc54700385" w:history="1">
        <w:r w:rsidR="00C152E3" w:rsidRPr="00DE50D7">
          <w:rPr>
            <w:rStyle w:val="Hyperlink"/>
          </w:rPr>
          <w:t>Leadership pay</w:t>
        </w:r>
        <w:r w:rsidR="00C152E3">
          <w:rPr>
            <w:webHidden/>
          </w:rPr>
          <w:tab/>
        </w:r>
        <w:r w:rsidR="00C152E3">
          <w:rPr>
            <w:webHidden/>
          </w:rPr>
          <w:fldChar w:fldCharType="begin"/>
        </w:r>
        <w:r w:rsidR="00C152E3">
          <w:rPr>
            <w:webHidden/>
          </w:rPr>
          <w:instrText xml:space="preserve"> PAGEREF _Toc54700385 \h </w:instrText>
        </w:r>
        <w:r w:rsidR="00C152E3">
          <w:rPr>
            <w:webHidden/>
          </w:rPr>
        </w:r>
        <w:r w:rsidR="00C152E3">
          <w:rPr>
            <w:webHidden/>
          </w:rPr>
          <w:fldChar w:fldCharType="separate"/>
        </w:r>
        <w:r w:rsidR="006C719D">
          <w:rPr>
            <w:webHidden/>
          </w:rPr>
          <w:t>17</w:t>
        </w:r>
        <w:r w:rsidR="00C152E3">
          <w:rPr>
            <w:webHidden/>
          </w:rPr>
          <w:fldChar w:fldCharType="end"/>
        </w:r>
      </w:hyperlink>
    </w:p>
    <w:p w14:paraId="089233FA" w14:textId="20328DCE" w:rsidR="00C152E3" w:rsidRDefault="00823037">
      <w:pPr>
        <w:pStyle w:val="TOC2"/>
        <w:tabs>
          <w:tab w:val="left" w:pos="600"/>
        </w:tabs>
        <w:rPr>
          <w:rFonts w:asciiTheme="minorHAnsi" w:eastAsiaTheme="minorEastAsia" w:hAnsiTheme="minorHAnsi" w:cstheme="minorBidi"/>
          <w:sz w:val="22"/>
          <w:szCs w:val="22"/>
        </w:rPr>
      </w:pPr>
      <w:hyperlink w:anchor="_Toc54700386" w:history="1">
        <w:r w:rsidR="00C152E3" w:rsidRPr="00DE50D7">
          <w:rPr>
            <w:rStyle w:val="Hyperlink"/>
          </w:rPr>
          <w:t>Publication of Salaries over £100,00 from January 2021</w:t>
        </w:r>
        <w:r w:rsidR="00C152E3">
          <w:rPr>
            <w:webHidden/>
          </w:rPr>
          <w:tab/>
        </w:r>
        <w:r w:rsidR="00C152E3">
          <w:rPr>
            <w:webHidden/>
          </w:rPr>
          <w:fldChar w:fldCharType="begin"/>
        </w:r>
        <w:r w:rsidR="00C152E3">
          <w:rPr>
            <w:webHidden/>
          </w:rPr>
          <w:instrText xml:space="preserve"> PAGEREF _Toc54700386 \h </w:instrText>
        </w:r>
        <w:r w:rsidR="00C152E3">
          <w:rPr>
            <w:webHidden/>
          </w:rPr>
        </w:r>
        <w:r w:rsidR="00C152E3">
          <w:rPr>
            <w:webHidden/>
          </w:rPr>
          <w:fldChar w:fldCharType="separate"/>
        </w:r>
        <w:r w:rsidR="006C719D">
          <w:rPr>
            <w:webHidden/>
          </w:rPr>
          <w:t>21</w:t>
        </w:r>
        <w:r w:rsidR="00C152E3">
          <w:rPr>
            <w:webHidden/>
          </w:rPr>
          <w:fldChar w:fldCharType="end"/>
        </w:r>
      </w:hyperlink>
    </w:p>
    <w:p w14:paraId="6BE0A96D" w14:textId="421CE2CC" w:rsidR="00C152E3" w:rsidRDefault="00823037">
      <w:pPr>
        <w:pStyle w:val="TOC2"/>
        <w:rPr>
          <w:rFonts w:asciiTheme="minorHAnsi" w:eastAsiaTheme="minorEastAsia" w:hAnsiTheme="minorHAnsi" w:cstheme="minorBidi"/>
          <w:sz w:val="22"/>
          <w:szCs w:val="22"/>
        </w:rPr>
      </w:pPr>
      <w:hyperlink w:anchor="_Toc54700387" w:history="1">
        <w:r w:rsidR="00C152E3" w:rsidRPr="00DE50D7">
          <w:rPr>
            <w:rStyle w:val="Hyperlink"/>
          </w:rPr>
          <w:t>Equality impact assessment</w:t>
        </w:r>
        <w:r w:rsidR="00C152E3">
          <w:rPr>
            <w:webHidden/>
          </w:rPr>
          <w:tab/>
        </w:r>
        <w:r w:rsidR="00C152E3">
          <w:rPr>
            <w:webHidden/>
          </w:rPr>
          <w:fldChar w:fldCharType="begin"/>
        </w:r>
        <w:r w:rsidR="00C152E3">
          <w:rPr>
            <w:webHidden/>
          </w:rPr>
          <w:instrText xml:space="preserve"> PAGEREF _Toc54700387 \h </w:instrText>
        </w:r>
        <w:r w:rsidR="00C152E3">
          <w:rPr>
            <w:webHidden/>
          </w:rPr>
        </w:r>
        <w:r w:rsidR="00C152E3">
          <w:rPr>
            <w:webHidden/>
          </w:rPr>
          <w:fldChar w:fldCharType="separate"/>
        </w:r>
        <w:r w:rsidR="006C719D">
          <w:rPr>
            <w:webHidden/>
          </w:rPr>
          <w:t>21</w:t>
        </w:r>
        <w:r w:rsidR="00C152E3">
          <w:rPr>
            <w:webHidden/>
          </w:rPr>
          <w:fldChar w:fldCharType="end"/>
        </w:r>
      </w:hyperlink>
    </w:p>
    <w:p w14:paraId="24D0AFDD" w14:textId="473DB77B" w:rsidR="00C152E3" w:rsidRDefault="00823037">
      <w:pPr>
        <w:pStyle w:val="TOC2"/>
        <w:rPr>
          <w:rFonts w:asciiTheme="minorHAnsi" w:eastAsiaTheme="minorEastAsia" w:hAnsiTheme="minorHAnsi" w:cstheme="minorBidi"/>
          <w:sz w:val="22"/>
          <w:szCs w:val="22"/>
        </w:rPr>
      </w:pPr>
      <w:hyperlink w:anchor="_Toc54700388" w:history="1">
        <w:r w:rsidR="00C152E3" w:rsidRPr="00DE50D7">
          <w:rPr>
            <w:rStyle w:val="Hyperlink"/>
            <w:lang w:val="en-US" w:eastAsia="en-US"/>
          </w:rPr>
          <w:t>Equalities and schools</w:t>
        </w:r>
        <w:r w:rsidR="00C152E3">
          <w:rPr>
            <w:webHidden/>
          </w:rPr>
          <w:tab/>
        </w:r>
        <w:r w:rsidR="00C152E3">
          <w:rPr>
            <w:webHidden/>
          </w:rPr>
          <w:fldChar w:fldCharType="begin"/>
        </w:r>
        <w:r w:rsidR="00C152E3">
          <w:rPr>
            <w:webHidden/>
          </w:rPr>
          <w:instrText xml:space="preserve"> PAGEREF _Toc54700388 \h </w:instrText>
        </w:r>
        <w:r w:rsidR="00C152E3">
          <w:rPr>
            <w:webHidden/>
          </w:rPr>
        </w:r>
        <w:r w:rsidR="00C152E3">
          <w:rPr>
            <w:webHidden/>
          </w:rPr>
          <w:fldChar w:fldCharType="separate"/>
        </w:r>
        <w:r w:rsidR="006C719D">
          <w:rPr>
            <w:webHidden/>
          </w:rPr>
          <w:t>22</w:t>
        </w:r>
        <w:r w:rsidR="00C152E3">
          <w:rPr>
            <w:webHidden/>
          </w:rPr>
          <w:fldChar w:fldCharType="end"/>
        </w:r>
      </w:hyperlink>
    </w:p>
    <w:p w14:paraId="74F76F19" w14:textId="23A3B302" w:rsidR="00C152E3" w:rsidRDefault="00823037">
      <w:pPr>
        <w:pStyle w:val="TOC2"/>
        <w:rPr>
          <w:rFonts w:asciiTheme="minorHAnsi" w:eastAsiaTheme="minorEastAsia" w:hAnsiTheme="minorHAnsi" w:cstheme="minorBidi"/>
          <w:sz w:val="22"/>
          <w:szCs w:val="22"/>
        </w:rPr>
      </w:pPr>
      <w:hyperlink w:anchor="_Toc54700389" w:history="1">
        <w:r w:rsidR="00C152E3" w:rsidRPr="00DE50D7">
          <w:rPr>
            <w:rStyle w:val="Hyperlink"/>
          </w:rPr>
          <w:t>Appendix A – School staffing structure for 2020-21</w:t>
        </w:r>
        <w:r w:rsidR="00C152E3">
          <w:rPr>
            <w:webHidden/>
          </w:rPr>
          <w:tab/>
        </w:r>
        <w:r w:rsidR="00C152E3">
          <w:rPr>
            <w:webHidden/>
          </w:rPr>
          <w:fldChar w:fldCharType="begin"/>
        </w:r>
        <w:r w:rsidR="00C152E3">
          <w:rPr>
            <w:webHidden/>
          </w:rPr>
          <w:instrText xml:space="preserve"> PAGEREF _Toc54700389 \h </w:instrText>
        </w:r>
        <w:r w:rsidR="00C152E3">
          <w:rPr>
            <w:webHidden/>
          </w:rPr>
        </w:r>
        <w:r w:rsidR="00C152E3">
          <w:rPr>
            <w:webHidden/>
          </w:rPr>
          <w:fldChar w:fldCharType="separate"/>
        </w:r>
        <w:r w:rsidR="006C719D">
          <w:rPr>
            <w:webHidden/>
          </w:rPr>
          <w:t>23</w:t>
        </w:r>
        <w:r w:rsidR="00C152E3">
          <w:rPr>
            <w:webHidden/>
          </w:rPr>
          <w:fldChar w:fldCharType="end"/>
        </w:r>
      </w:hyperlink>
    </w:p>
    <w:p w14:paraId="536E0CAA" w14:textId="42C0CD70" w:rsidR="00C152E3" w:rsidRDefault="00823037">
      <w:pPr>
        <w:pStyle w:val="TOC2"/>
        <w:rPr>
          <w:rFonts w:asciiTheme="minorHAnsi" w:eastAsiaTheme="minorEastAsia" w:hAnsiTheme="minorHAnsi" w:cstheme="minorBidi"/>
          <w:sz w:val="22"/>
          <w:szCs w:val="22"/>
        </w:rPr>
      </w:pPr>
      <w:hyperlink w:anchor="_Toc54700390" w:history="1">
        <w:r w:rsidR="00C152E3" w:rsidRPr="00DE50D7">
          <w:rPr>
            <w:rStyle w:val="Hyperlink"/>
          </w:rPr>
          <w:t>Appendix B – Model Framework for Support Staff Pay Policy</w:t>
        </w:r>
        <w:r w:rsidR="00C152E3">
          <w:rPr>
            <w:webHidden/>
          </w:rPr>
          <w:tab/>
        </w:r>
        <w:r w:rsidR="00C152E3">
          <w:rPr>
            <w:webHidden/>
          </w:rPr>
          <w:fldChar w:fldCharType="begin"/>
        </w:r>
        <w:r w:rsidR="00C152E3">
          <w:rPr>
            <w:webHidden/>
          </w:rPr>
          <w:instrText xml:space="preserve"> PAGEREF _Toc54700390 \h </w:instrText>
        </w:r>
        <w:r w:rsidR="00C152E3">
          <w:rPr>
            <w:webHidden/>
          </w:rPr>
        </w:r>
        <w:r w:rsidR="00C152E3">
          <w:rPr>
            <w:webHidden/>
          </w:rPr>
          <w:fldChar w:fldCharType="separate"/>
        </w:r>
        <w:r w:rsidR="006C719D">
          <w:rPr>
            <w:webHidden/>
          </w:rPr>
          <w:t>24</w:t>
        </w:r>
        <w:r w:rsidR="00C152E3">
          <w:rPr>
            <w:webHidden/>
          </w:rPr>
          <w:fldChar w:fldCharType="end"/>
        </w:r>
      </w:hyperlink>
    </w:p>
    <w:p w14:paraId="3FE8B5E4" w14:textId="10544894" w:rsidR="00C152E3" w:rsidRDefault="00823037">
      <w:pPr>
        <w:pStyle w:val="TOC2"/>
        <w:rPr>
          <w:rFonts w:asciiTheme="minorHAnsi" w:eastAsiaTheme="minorEastAsia" w:hAnsiTheme="minorHAnsi" w:cstheme="minorBidi"/>
          <w:sz w:val="22"/>
          <w:szCs w:val="22"/>
        </w:rPr>
      </w:pPr>
      <w:hyperlink w:anchor="_Toc54700391" w:history="1">
        <w:r w:rsidR="00C152E3" w:rsidRPr="00DE50D7">
          <w:rPr>
            <w:rStyle w:val="Hyperlink"/>
          </w:rPr>
          <w:t>Appendix C – Model Terms of Reference for School Pay Committee</w:t>
        </w:r>
        <w:r w:rsidR="00C152E3">
          <w:rPr>
            <w:webHidden/>
          </w:rPr>
          <w:tab/>
        </w:r>
        <w:r w:rsidR="00C152E3">
          <w:rPr>
            <w:webHidden/>
          </w:rPr>
          <w:fldChar w:fldCharType="begin"/>
        </w:r>
        <w:r w:rsidR="00C152E3">
          <w:rPr>
            <w:webHidden/>
          </w:rPr>
          <w:instrText xml:space="preserve"> PAGEREF _Toc54700391 \h </w:instrText>
        </w:r>
        <w:r w:rsidR="00C152E3">
          <w:rPr>
            <w:webHidden/>
          </w:rPr>
        </w:r>
        <w:r w:rsidR="00C152E3">
          <w:rPr>
            <w:webHidden/>
          </w:rPr>
          <w:fldChar w:fldCharType="separate"/>
        </w:r>
        <w:r w:rsidR="006C719D">
          <w:rPr>
            <w:webHidden/>
          </w:rPr>
          <w:t>26</w:t>
        </w:r>
        <w:r w:rsidR="00C152E3">
          <w:rPr>
            <w:webHidden/>
          </w:rPr>
          <w:fldChar w:fldCharType="end"/>
        </w:r>
      </w:hyperlink>
      <w:r w:rsidR="00810D9F">
        <w:t>5</w:t>
      </w:r>
    </w:p>
    <w:p w14:paraId="5D96C764" w14:textId="68065AFC" w:rsidR="00C152E3" w:rsidRDefault="00823037">
      <w:pPr>
        <w:pStyle w:val="TOC2"/>
        <w:rPr>
          <w:rFonts w:asciiTheme="minorHAnsi" w:eastAsiaTheme="minorEastAsia" w:hAnsiTheme="minorHAnsi" w:cstheme="minorBidi"/>
          <w:sz w:val="22"/>
          <w:szCs w:val="22"/>
        </w:rPr>
      </w:pPr>
      <w:hyperlink w:anchor="_Toc54700392" w:history="1">
        <w:r w:rsidR="00C152E3" w:rsidRPr="00DE50D7">
          <w:rPr>
            <w:rStyle w:val="Hyperlink"/>
          </w:rPr>
          <w:t>Appendix D – Model Application Form - Application for the Upper pay Range</w:t>
        </w:r>
        <w:r w:rsidR="00C152E3">
          <w:rPr>
            <w:webHidden/>
          </w:rPr>
          <w:tab/>
        </w:r>
        <w:r w:rsidR="00C152E3">
          <w:rPr>
            <w:webHidden/>
          </w:rPr>
          <w:fldChar w:fldCharType="begin"/>
        </w:r>
        <w:r w:rsidR="00C152E3">
          <w:rPr>
            <w:webHidden/>
          </w:rPr>
          <w:instrText xml:space="preserve"> PAGEREF _Toc54700392 \h </w:instrText>
        </w:r>
        <w:r w:rsidR="00C152E3">
          <w:rPr>
            <w:webHidden/>
          </w:rPr>
        </w:r>
        <w:r w:rsidR="00C152E3">
          <w:rPr>
            <w:webHidden/>
          </w:rPr>
          <w:fldChar w:fldCharType="separate"/>
        </w:r>
        <w:r w:rsidR="006C719D">
          <w:rPr>
            <w:webHidden/>
          </w:rPr>
          <w:t>27</w:t>
        </w:r>
        <w:r w:rsidR="00C152E3">
          <w:rPr>
            <w:webHidden/>
          </w:rPr>
          <w:fldChar w:fldCharType="end"/>
        </w:r>
      </w:hyperlink>
    </w:p>
    <w:p w14:paraId="7C6C1FD1" w14:textId="24C906BA" w:rsidR="00C152E3" w:rsidRDefault="00823037">
      <w:pPr>
        <w:pStyle w:val="TOC2"/>
        <w:rPr>
          <w:rFonts w:asciiTheme="minorHAnsi" w:eastAsiaTheme="minorEastAsia" w:hAnsiTheme="minorHAnsi" w:cstheme="minorBidi"/>
          <w:sz w:val="22"/>
          <w:szCs w:val="22"/>
        </w:rPr>
      </w:pPr>
      <w:hyperlink w:anchor="_Toc54700393" w:history="1">
        <w:r w:rsidR="00C152E3" w:rsidRPr="00DE50D7">
          <w:rPr>
            <w:rStyle w:val="Hyperlink"/>
          </w:rPr>
          <w:t>Appendix E – Managing Appeals against Pay Determination</w:t>
        </w:r>
        <w:r w:rsidR="00C152E3">
          <w:rPr>
            <w:webHidden/>
          </w:rPr>
          <w:tab/>
        </w:r>
        <w:r w:rsidR="00810D9F">
          <w:rPr>
            <w:webHidden/>
          </w:rPr>
          <w:t>28</w:t>
        </w:r>
      </w:hyperlink>
    </w:p>
    <w:p w14:paraId="5B0D829F" w14:textId="0803E38C" w:rsidR="00C152E3" w:rsidRDefault="00823037">
      <w:pPr>
        <w:pStyle w:val="TOC2"/>
        <w:rPr>
          <w:rFonts w:asciiTheme="minorHAnsi" w:eastAsiaTheme="minorEastAsia" w:hAnsiTheme="minorHAnsi" w:cstheme="minorBidi"/>
          <w:sz w:val="22"/>
          <w:szCs w:val="22"/>
        </w:rPr>
      </w:pPr>
      <w:hyperlink w:anchor="_Toc54700394" w:history="1">
        <w:r w:rsidR="00C152E3" w:rsidRPr="00DE50D7">
          <w:rPr>
            <w:rStyle w:val="Hyperlink"/>
          </w:rPr>
          <w:t>Appendix F – Leadership pay range 2020-21</w:t>
        </w:r>
        <w:r w:rsidR="00C152E3">
          <w:rPr>
            <w:webHidden/>
          </w:rPr>
          <w:tab/>
        </w:r>
        <w:r w:rsidR="00C152E3">
          <w:rPr>
            <w:webHidden/>
          </w:rPr>
          <w:fldChar w:fldCharType="begin"/>
        </w:r>
        <w:r w:rsidR="00C152E3">
          <w:rPr>
            <w:webHidden/>
          </w:rPr>
          <w:instrText xml:space="preserve"> PAGEREF _Toc54700394 \h </w:instrText>
        </w:r>
        <w:r w:rsidR="00C152E3">
          <w:rPr>
            <w:webHidden/>
          </w:rPr>
        </w:r>
        <w:r w:rsidR="00C152E3">
          <w:rPr>
            <w:webHidden/>
          </w:rPr>
          <w:fldChar w:fldCharType="separate"/>
        </w:r>
        <w:r w:rsidR="006C719D">
          <w:rPr>
            <w:webHidden/>
          </w:rPr>
          <w:t>31</w:t>
        </w:r>
        <w:r w:rsidR="00C152E3">
          <w:rPr>
            <w:webHidden/>
          </w:rPr>
          <w:fldChar w:fldCharType="end"/>
        </w:r>
      </w:hyperlink>
    </w:p>
    <w:p w14:paraId="5B5CA039" w14:textId="3058E49B" w:rsidR="00692605" w:rsidRPr="0029565F" w:rsidRDefault="007870AC" w:rsidP="00F74F01">
      <w:pPr>
        <w:keepLines/>
        <w:tabs>
          <w:tab w:val="left" w:pos="6255"/>
        </w:tabs>
      </w:pPr>
      <w:r w:rsidRPr="0029565F">
        <w:fldChar w:fldCharType="end"/>
      </w:r>
      <w:r w:rsidR="00F74F01" w:rsidRPr="0029565F">
        <w:tab/>
      </w:r>
    </w:p>
    <w:p w14:paraId="0B7B824D" w14:textId="77777777" w:rsidR="00692605" w:rsidRPr="0029565F" w:rsidRDefault="00692605" w:rsidP="00692605"/>
    <w:p w14:paraId="1C42846A" w14:textId="77777777" w:rsidR="00692605" w:rsidRPr="0029565F" w:rsidRDefault="00692605" w:rsidP="00692605"/>
    <w:p w14:paraId="3EDE9214" w14:textId="77777777" w:rsidR="00692605" w:rsidRPr="0029565F" w:rsidRDefault="00692605" w:rsidP="00692605"/>
    <w:p w14:paraId="7B96CC40" w14:textId="77777777" w:rsidR="0058725E" w:rsidRPr="0029565F" w:rsidRDefault="0058725E" w:rsidP="0058725E">
      <w:pPr>
        <w:tabs>
          <w:tab w:val="left" w:pos="1965"/>
        </w:tabs>
        <w:rPr>
          <w:b/>
          <w:sz w:val="28"/>
          <w:szCs w:val="28"/>
        </w:rPr>
      </w:pPr>
    </w:p>
    <w:p w14:paraId="63269BEC" w14:textId="77777777" w:rsidR="0058725E" w:rsidRPr="0029565F" w:rsidRDefault="0058725E" w:rsidP="0058725E">
      <w:pPr>
        <w:tabs>
          <w:tab w:val="left" w:pos="1965"/>
        </w:tabs>
        <w:rPr>
          <w:b/>
          <w:sz w:val="28"/>
          <w:szCs w:val="28"/>
        </w:rPr>
      </w:pPr>
    </w:p>
    <w:p w14:paraId="5B38A37F" w14:textId="77777777" w:rsidR="003A47DD" w:rsidRPr="0029565F" w:rsidRDefault="003A47DD" w:rsidP="0058725E">
      <w:pPr>
        <w:tabs>
          <w:tab w:val="left" w:pos="1965"/>
        </w:tabs>
        <w:rPr>
          <w:b/>
          <w:sz w:val="28"/>
          <w:szCs w:val="28"/>
        </w:rPr>
      </w:pPr>
    </w:p>
    <w:p w14:paraId="26E51528" w14:textId="77777777" w:rsidR="003A47DD" w:rsidRPr="0029565F" w:rsidRDefault="003A47DD" w:rsidP="0058725E">
      <w:pPr>
        <w:tabs>
          <w:tab w:val="left" w:pos="1965"/>
        </w:tabs>
        <w:rPr>
          <w:b/>
          <w:sz w:val="28"/>
          <w:szCs w:val="28"/>
        </w:rPr>
      </w:pPr>
    </w:p>
    <w:p w14:paraId="3D696717" w14:textId="77777777" w:rsidR="003A47DD" w:rsidRPr="0029565F" w:rsidRDefault="003A47DD" w:rsidP="0058725E">
      <w:pPr>
        <w:tabs>
          <w:tab w:val="left" w:pos="1965"/>
        </w:tabs>
        <w:rPr>
          <w:b/>
          <w:sz w:val="28"/>
          <w:szCs w:val="28"/>
        </w:rPr>
      </w:pPr>
    </w:p>
    <w:p w14:paraId="0FA4A2BE" w14:textId="77777777" w:rsidR="003A47DD" w:rsidRDefault="003A47DD" w:rsidP="0058725E">
      <w:pPr>
        <w:tabs>
          <w:tab w:val="left" w:pos="1965"/>
        </w:tabs>
        <w:rPr>
          <w:b/>
          <w:sz w:val="28"/>
          <w:szCs w:val="28"/>
        </w:rPr>
      </w:pPr>
    </w:p>
    <w:p w14:paraId="3A040E24" w14:textId="77777777" w:rsidR="00F95B91" w:rsidRPr="0029565F" w:rsidRDefault="00F95B91" w:rsidP="0058725E">
      <w:pPr>
        <w:tabs>
          <w:tab w:val="left" w:pos="1965"/>
        </w:tabs>
        <w:rPr>
          <w:b/>
          <w:sz w:val="28"/>
          <w:szCs w:val="28"/>
        </w:rPr>
      </w:pPr>
    </w:p>
    <w:p w14:paraId="489F60FB" w14:textId="77777777" w:rsidR="00AE456E" w:rsidRPr="0029565F" w:rsidRDefault="00AE456E" w:rsidP="0058725E">
      <w:pPr>
        <w:tabs>
          <w:tab w:val="left" w:pos="1965"/>
        </w:tabs>
        <w:rPr>
          <w:b/>
          <w:sz w:val="28"/>
          <w:szCs w:val="28"/>
        </w:rPr>
      </w:pPr>
      <w:r w:rsidRPr="0029565F">
        <w:rPr>
          <w:b/>
          <w:sz w:val="28"/>
          <w:szCs w:val="28"/>
        </w:rPr>
        <w:lastRenderedPageBreak/>
        <w:t>About this document:</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70" w:type="dxa"/>
        </w:tblCellMar>
        <w:tblLook w:val="01E0" w:firstRow="1" w:lastRow="1" w:firstColumn="1" w:lastColumn="1" w:noHBand="0" w:noVBand="0"/>
      </w:tblPr>
      <w:tblGrid>
        <w:gridCol w:w="4948"/>
        <w:gridCol w:w="4950"/>
      </w:tblGrid>
      <w:tr w:rsidR="009D300C" w:rsidRPr="0029565F" w14:paraId="0EB89697" w14:textId="77777777" w:rsidTr="009D300C">
        <w:tc>
          <w:tcPr>
            <w:tcW w:w="4948" w:type="dxa"/>
          </w:tcPr>
          <w:p w14:paraId="25585839" w14:textId="77777777" w:rsidR="009D300C" w:rsidRPr="0029565F" w:rsidRDefault="009D300C" w:rsidP="00123405">
            <w:pPr>
              <w:keepLines/>
              <w:tabs>
                <w:tab w:val="left" w:pos="1246"/>
              </w:tabs>
              <w:ind w:left="1276" w:hanging="1276"/>
              <w:rPr>
                <w:b/>
                <w:color w:val="000080"/>
              </w:rPr>
            </w:pPr>
            <w:r w:rsidRPr="0029565F">
              <w:rPr>
                <w:b/>
                <w:color w:val="000080"/>
              </w:rPr>
              <w:t>Enquiries:</w:t>
            </w:r>
            <w:r w:rsidRPr="0029565F">
              <w:rPr>
                <w:b/>
                <w:color w:val="000080"/>
              </w:rPr>
              <w:tab/>
            </w:r>
            <w:r w:rsidR="00DB31F7" w:rsidRPr="0029565F">
              <w:t>HR Advisory</w:t>
            </w:r>
            <w:r w:rsidRPr="0029565F">
              <w:t xml:space="preserve"> Team</w:t>
            </w:r>
          </w:p>
          <w:p w14:paraId="493D50C8" w14:textId="61B145FA" w:rsidR="009D300C" w:rsidRPr="0029565F" w:rsidRDefault="009D300C" w:rsidP="00123405">
            <w:pPr>
              <w:keepLines/>
              <w:tabs>
                <w:tab w:val="left" w:pos="1246"/>
              </w:tabs>
            </w:pPr>
            <w:r w:rsidRPr="0029565F">
              <w:t>Author:</w:t>
            </w:r>
            <w:r w:rsidRPr="0029565F">
              <w:tab/>
            </w:r>
            <w:r w:rsidR="001C1EE6">
              <w:t>HR and OD</w:t>
            </w:r>
          </w:p>
          <w:p w14:paraId="5050ECD6" w14:textId="77777777" w:rsidR="009D300C" w:rsidRPr="0029565F" w:rsidRDefault="009D300C" w:rsidP="00123405">
            <w:pPr>
              <w:keepLines/>
              <w:tabs>
                <w:tab w:val="left" w:pos="1246"/>
              </w:tabs>
            </w:pPr>
            <w:r w:rsidRPr="0029565F">
              <w:t>Telepho</w:t>
            </w:r>
            <w:r w:rsidR="00DB31F7" w:rsidRPr="0029565F">
              <w:t>ne:</w:t>
            </w:r>
            <w:r w:rsidR="00DB31F7" w:rsidRPr="0029565F">
              <w:tab/>
              <w:t>01273 481300</w:t>
            </w:r>
          </w:p>
          <w:p w14:paraId="4B9AA1F6" w14:textId="77777777" w:rsidR="00E1474C" w:rsidRDefault="009D300C" w:rsidP="00123405">
            <w:pPr>
              <w:keepLines/>
              <w:spacing w:before="240"/>
            </w:pPr>
            <w:r w:rsidRPr="0029565F">
              <w:t xml:space="preserve">Email: </w:t>
            </w:r>
            <w:hyperlink r:id="rId21" w:history="1"/>
            <w:hyperlink r:id="rId22" w:history="1">
              <w:r w:rsidR="00E1474C" w:rsidRPr="00803CB0">
                <w:rPr>
                  <w:rStyle w:val="Hyperlink"/>
                </w:rPr>
                <w:t>janet.bowen@eastsussex.gov.uk</w:t>
              </w:r>
            </w:hyperlink>
          </w:p>
          <w:p w14:paraId="06443A81" w14:textId="77777777" w:rsidR="00B87458" w:rsidRPr="0029565F" w:rsidRDefault="009D300C" w:rsidP="00B87458">
            <w:pPr>
              <w:keepLines/>
              <w:spacing w:before="240"/>
            </w:pPr>
            <w:r w:rsidRPr="0029565F">
              <w:rPr>
                <w:b/>
                <w:color w:val="000080"/>
              </w:rPr>
              <w:t>Download this document</w:t>
            </w:r>
            <w:r w:rsidRPr="0029565F">
              <w:rPr>
                <w:b/>
                <w:color w:val="000080"/>
              </w:rPr>
              <w:br/>
            </w:r>
            <w:r w:rsidRPr="0029565F">
              <w:t>From</w:t>
            </w:r>
            <w:r w:rsidR="00B87458">
              <w:t xml:space="preserve"> the resources sect</w:t>
            </w:r>
            <w:r w:rsidR="00853C5F">
              <w:t xml:space="preserve">ion of the Services to Schools </w:t>
            </w:r>
            <w:proofErr w:type="spellStart"/>
            <w:r w:rsidR="00853C5F">
              <w:t>W</w:t>
            </w:r>
            <w:r w:rsidR="00B87458">
              <w:t>ebshop</w:t>
            </w:r>
            <w:proofErr w:type="spellEnd"/>
            <w:r w:rsidR="00B87458" w:rsidRPr="0029565F">
              <w:t xml:space="preserve">:   </w:t>
            </w:r>
          </w:p>
          <w:p w14:paraId="02851C11" w14:textId="77777777" w:rsidR="00126338" w:rsidRPr="0029565F" w:rsidRDefault="00126338" w:rsidP="00626E6B">
            <w:pPr>
              <w:keepLines/>
              <w:rPr>
                <w:rFonts w:cs="Arial"/>
              </w:rPr>
            </w:pPr>
          </w:p>
        </w:tc>
        <w:tc>
          <w:tcPr>
            <w:tcW w:w="4950" w:type="dxa"/>
          </w:tcPr>
          <w:p w14:paraId="47926A4D" w14:textId="77777777" w:rsidR="009D300C" w:rsidRPr="0029565F" w:rsidRDefault="009D300C" w:rsidP="00123405">
            <w:pPr>
              <w:keepLines/>
              <w:rPr>
                <w:b/>
                <w:color w:val="000080"/>
              </w:rPr>
            </w:pPr>
            <w:r w:rsidRPr="0029565F">
              <w:rPr>
                <w:b/>
                <w:color w:val="000080"/>
              </w:rPr>
              <w:t xml:space="preserve">Version number:  </w:t>
            </w:r>
            <w:r w:rsidR="00456FB5" w:rsidRPr="0029565F">
              <w:t>0</w:t>
            </w:r>
            <w:r w:rsidR="00626E6B">
              <w:t>1</w:t>
            </w:r>
          </w:p>
          <w:p w14:paraId="5704F9AB" w14:textId="77777777" w:rsidR="009D300C" w:rsidRPr="0029565F" w:rsidRDefault="009D300C" w:rsidP="00123405">
            <w:pPr>
              <w:keepLines/>
              <w:rPr>
                <w:b/>
                <w:color w:val="000080"/>
              </w:rPr>
            </w:pPr>
            <w:r w:rsidRPr="0029565F">
              <w:rPr>
                <w:b/>
                <w:color w:val="000080"/>
              </w:rPr>
              <w:t xml:space="preserve">Related information: </w:t>
            </w:r>
          </w:p>
          <w:p w14:paraId="74EB02F7" w14:textId="5ECA59D8" w:rsidR="001E1310" w:rsidRPr="0029565F" w:rsidRDefault="001E1310" w:rsidP="00DB31F7">
            <w:pPr>
              <w:rPr>
                <w:rFonts w:cs="Arial"/>
                <w:color w:val="0000FF"/>
              </w:rPr>
            </w:pPr>
            <w:r w:rsidRPr="0029565F">
              <w:rPr>
                <w:rFonts w:cs="Arial"/>
                <w:color w:val="0000FF"/>
              </w:rPr>
              <w:t xml:space="preserve">Supplementary guidance on teachers’ pay and the model pay policy </w:t>
            </w:r>
            <w:r w:rsidR="00B87458">
              <w:rPr>
                <w:rFonts w:cs="Arial"/>
                <w:color w:val="0000FF"/>
              </w:rPr>
              <w:t>20</w:t>
            </w:r>
            <w:r w:rsidR="001A5560">
              <w:rPr>
                <w:rFonts w:cs="Arial"/>
                <w:color w:val="0000FF"/>
              </w:rPr>
              <w:t>20/21</w:t>
            </w:r>
            <w:r w:rsidR="00F870E1">
              <w:rPr>
                <w:rFonts w:cs="Arial"/>
                <w:color w:val="0000FF"/>
              </w:rPr>
              <w:t xml:space="preserve"> - ESCC</w:t>
            </w:r>
          </w:p>
          <w:p w14:paraId="76DDA282" w14:textId="6D056C58" w:rsidR="00853C5F" w:rsidRDefault="00DB31F7" w:rsidP="003501D6">
            <w:pPr>
              <w:rPr>
                <w:rFonts w:cs="Arial"/>
                <w:color w:val="0000FF"/>
              </w:rPr>
            </w:pPr>
            <w:r w:rsidRPr="0029565F">
              <w:rPr>
                <w:rFonts w:cs="Arial"/>
                <w:color w:val="0000FF"/>
              </w:rPr>
              <w:t>School Teachers’ Pay and Conditions Document (STPCD)</w:t>
            </w:r>
            <w:r w:rsidR="001E1310" w:rsidRPr="0029565F">
              <w:rPr>
                <w:rFonts w:cs="Arial"/>
                <w:color w:val="0000FF"/>
              </w:rPr>
              <w:t xml:space="preserve"> September 20</w:t>
            </w:r>
            <w:r w:rsidR="001A5560">
              <w:rPr>
                <w:rFonts w:cs="Arial"/>
                <w:color w:val="0000FF"/>
              </w:rPr>
              <w:t>20</w:t>
            </w:r>
            <w:r w:rsidR="00F870E1">
              <w:rPr>
                <w:rFonts w:cs="Arial"/>
                <w:color w:val="0000FF"/>
              </w:rPr>
              <w:t xml:space="preserve"> - DfE</w:t>
            </w:r>
          </w:p>
          <w:p w14:paraId="2FB03AE8" w14:textId="3D711845" w:rsidR="0082227E" w:rsidRDefault="001E1310" w:rsidP="003501D6">
            <w:pPr>
              <w:rPr>
                <w:rFonts w:cs="Arial"/>
                <w:color w:val="0000FF"/>
              </w:rPr>
            </w:pPr>
            <w:r w:rsidRPr="0029565F">
              <w:rPr>
                <w:rFonts w:cs="Arial"/>
                <w:color w:val="0000FF"/>
              </w:rPr>
              <w:t xml:space="preserve">Implementing your school’s approach to pay – DfE guidance </w:t>
            </w:r>
            <w:r w:rsidR="007E6B3B">
              <w:rPr>
                <w:rFonts w:cs="Arial"/>
                <w:color w:val="0000FF"/>
              </w:rPr>
              <w:t>March 2019</w:t>
            </w:r>
          </w:p>
          <w:p w14:paraId="579AD813" w14:textId="3060FBF1" w:rsidR="00EA50D6" w:rsidRDefault="00EA50D6" w:rsidP="00DB31F7">
            <w:pPr>
              <w:keepLines/>
              <w:rPr>
                <w:rFonts w:cs="Arial"/>
                <w:color w:val="0000FF"/>
              </w:rPr>
            </w:pPr>
            <w:r>
              <w:rPr>
                <w:rFonts w:cs="Arial"/>
                <w:color w:val="0000FF"/>
              </w:rPr>
              <w:t>Equalities considerations as part of the appraisal and pay determination process – DfE – June 2014</w:t>
            </w:r>
          </w:p>
          <w:p w14:paraId="5C1048D1" w14:textId="064E9455" w:rsidR="005C7415" w:rsidRDefault="005C7415" w:rsidP="00DB31F7">
            <w:pPr>
              <w:keepLines/>
              <w:rPr>
                <w:rFonts w:cs="Arial"/>
                <w:color w:val="0000FF"/>
              </w:rPr>
            </w:pPr>
            <w:r>
              <w:rPr>
                <w:rFonts w:cs="Arial"/>
                <w:color w:val="0000FF"/>
              </w:rPr>
              <w:t xml:space="preserve">Staffing and Employment Advice for Schools </w:t>
            </w:r>
            <w:r w:rsidR="00F870E1">
              <w:rPr>
                <w:rFonts w:cs="Arial"/>
                <w:color w:val="0000FF"/>
              </w:rPr>
              <w:t xml:space="preserve">24 </w:t>
            </w:r>
            <w:r>
              <w:rPr>
                <w:rFonts w:cs="Arial"/>
                <w:color w:val="0000FF"/>
              </w:rPr>
              <w:t xml:space="preserve">October 2018 </w:t>
            </w:r>
            <w:r w:rsidR="00F870E1">
              <w:rPr>
                <w:rFonts w:cs="Arial"/>
                <w:color w:val="0000FF"/>
              </w:rPr>
              <w:t>–</w:t>
            </w:r>
            <w:r>
              <w:rPr>
                <w:rFonts w:cs="Arial"/>
                <w:color w:val="0000FF"/>
              </w:rPr>
              <w:t xml:space="preserve"> DfE</w:t>
            </w:r>
          </w:p>
          <w:p w14:paraId="77C658DB" w14:textId="77777777" w:rsidR="00F870E1" w:rsidRDefault="00F870E1" w:rsidP="00DB31F7">
            <w:pPr>
              <w:keepLines/>
              <w:rPr>
                <w:rFonts w:cs="Arial"/>
                <w:color w:val="0000FF"/>
              </w:rPr>
            </w:pPr>
            <w:r>
              <w:rPr>
                <w:rFonts w:cs="Arial"/>
                <w:color w:val="0000FF"/>
              </w:rPr>
              <w:t>Teacher Appraisal and Capability Model Policy – DfE – March 2019</w:t>
            </w:r>
          </w:p>
          <w:p w14:paraId="0F4BCF16" w14:textId="77777777" w:rsidR="005C7415" w:rsidRDefault="00E1474C" w:rsidP="00DB31F7">
            <w:pPr>
              <w:keepLines/>
              <w:rPr>
                <w:rFonts w:cs="Arial"/>
                <w:color w:val="0000FF"/>
              </w:rPr>
            </w:pPr>
            <w:r>
              <w:rPr>
                <w:rFonts w:cs="Arial"/>
                <w:color w:val="0000FF"/>
              </w:rPr>
              <w:t>Appraisal Policy</w:t>
            </w:r>
            <w:r w:rsidR="00F870E1">
              <w:rPr>
                <w:rFonts w:cs="Arial"/>
                <w:color w:val="0000FF"/>
              </w:rPr>
              <w:t xml:space="preserve"> - ESCC</w:t>
            </w:r>
          </w:p>
          <w:p w14:paraId="6A54267A" w14:textId="0F9D23F3" w:rsidR="00E1474C" w:rsidRPr="0029565F" w:rsidRDefault="004505C2" w:rsidP="00DB31F7">
            <w:pPr>
              <w:keepLines/>
              <w:rPr>
                <w:rFonts w:cs="Arial"/>
                <w:color w:val="0000FF"/>
              </w:rPr>
            </w:pPr>
            <w:r w:rsidRPr="00C9262C">
              <w:rPr>
                <w:rFonts w:cs="Arial"/>
                <w:color w:val="0000FF"/>
              </w:rPr>
              <w:t>Making Data Work</w:t>
            </w:r>
            <w:r w:rsidR="002A1A4F" w:rsidRPr="00C9262C">
              <w:rPr>
                <w:rFonts w:cs="Arial"/>
                <w:color w:val="0000FF"/>
              </w:rPr>
              <w:t xml:space="preserve"> – Report of the Teacher Workload Advisory Group – November 2018</w:t>
            </w:r>
          </w:p>
          <w:p w14:paraId="39550BF5" w14:textId="77777777" w:rsidR="007A07CD" w:rsidRPr="00853C5F" w:rsidRDefault="004C4B29" w:rsidP="00853C5F">
            <w:pPr>
              <w:keepLines/>
              <w:spacing w:before="240"/>
            </w:pPr>
            <w:r w:rsidRPr="0029565F">
              <w:rPr>
                <w:b/>
                <w:color w:val="000080"/>
              </w:rPr>
              <w:t>Download these documents</w:t>
            </w:r>
            <w:r w:rsidRPr="0029565F">
              <w:rPr>
                <w:b/>
                <w:color w:val="000080"/>
              </w:rPr>
              <w:br/>
            </w:r>
            <w:r w:rsidRPr="0029565F">
              <w:t>From</w:t>
            </w:r>
            <w:r w:rsidR="00B87458">
              <w:t xml:space="preserve"> the resources sect</w:t>
            </w:r>
            <w:r w:rsidR="00853C5F">
              <w:t xml:space="preserve">ion of the Services to Schools </w:t>
            </w:r>
            <w:proofErr w:type="spellStart"/>
            <w:r w:rsidR="00853C5F">
              <w:t>W</w:t>
            </w:r>
            <w:r w:rsidR="00B87458">
              <w:t>ebshop</w:t>
            </w:r>
            <w:proofErr w:type="spellEnd"/>
          </w:p>
        </w:tc>
      </w:tr>
      <w:tr w:rsidR="009D300C" w:rsidRPr="0029565F" w14:paraId="317DF3D0" w14:textId="77777777" w:rsidTr="009D300C">
        <w:tc>
          <w:tcPr>
            <w:tcW w:w="9898" w:type="dxa"/>
            <w:gridSpan w:val="2"/>
          </w:tcPr>
          <w:p w14:paraId="5A75D780" w14:textId="77777777" w:rsidR="009D300C" w:rsidRPr="0029565F" w:rsidRDefault="009D300C" w:rsidP="00123405">
            <w:pPr>
              <w:keepLines/>
              <w:rPr>
                <w:b/>
              </w:rPr>
            </w:pPr>
            <w:r w:rsidRPr="0029565F">
              <w:rPr>
                <w:b/>
                <w:color w:val="000080"/>
              </w:rPr>
              <w:t>Accessibility help</w:t>
            </w:r>
            <w:r w:rsidRPr="0029565F">
              <w:rPr>
                <w:b/>
              </w:rPr>
              <w:t xml:space="preserve"> </w:t>
            </w:r>
          </w:p>
          <w:p w14:paraId="75D92FA0" w14:textId="77777777" w:rsidR="009D300C" w:rsidRPr="0029565F" w:rsidRDefault="009D300C" w:rsidP="00123405">
            <w:pPr>
              <w:keepLines/>
            </w:pPr>
            <w:r w:rsidRPr="0029565F">
              <w:t xml:space="preserve">Zoom in or out by holding down the </w:t>
            </w:r>
            <w:r w:rsidR="002E1F22" w:rsidRPr="0029565F">
              <w:t>CTRL</w:t>
            </w:r>
            <w:r w:rsidRPr="0029565F">
              <w:t xml:space="preserve"> key and turning the mouse wheel. </w:t>
            </w:r>
          </w:p>
          <w:p w14:paraId="2804FD12" w14:textId="77777777" w:rsidR="009D300C" w:rsidRPr="0029565F" w:rsidRDefault="009D300C" w:rsidP="00123405">
            <w:pPr>
              <w:keepLines/>
            </w:pPr>
            <w:r w:rsidRPr="0029565F">
              <w:t xml:space="preserve">CTRL and click on the table of contents to navigate. </w:t>
            </w:r>
          </w:p>
          <w:p w14:paraId="626D5D66" w14:textId="77777777" w:rsidR="009D300C" w:rsidRPr="0029565F" w:rsidRDefault="009D300C" w:rsidP="00123405">
            <w:pPr>
              <w:keepLines/>
            </w:pPr>
            <w:r w:rsidRPr="0029565F">
              <w:t>Press CTRL and Home key to return to the top of the document</w:t>
            </w:r>
          </w:p>
          <w:p w14:paraId="18A5054C" w14:textId="77777777" w:rsidR="009D300C" w:rsidRPr="0029565F" w:rsidRDefault="009D300C" w:rsidP="00123405">
            <w:pPr>
              <w:keepLines/>
            </w:pPr>
            <w:r w:rsidRPr="0029565F">
              <w:t>Press Alt-left arrow to return to your previous location.</w:t>
            </w:r>
          </w:p>
          <w:p w14:paraId="0DC8F606" w14:textId="77777777" w:rsidR="00A94B44" w:rsidRPr="0029565F" w:rsidRDefault="00A94B44" w:rsidP="00123405">
            <w:pPr>
              <w:keepLines/>
            </w:pPr>
            <w:r w:rsidRPr="0029565F">
              <w:t xml:space="preserve">References shown in </w:t>
            </w:r>
            <w:r w:rsidRPr="0029565F">
              <w:rPr>
                <w:color w:val="0000FF"/>
              </w:rPr>
              <w:t>blue text</w:t>
            </w:r>
            <w:r w:rsidRPr="0029565F">
              <w:t xml:space="preserve"> are available on </w:t>
            </w:r>
            <w:r w:rsidR="00440D83">
              <w:t xml:space="preserve">the </w:t>
            </w:r>
            <w:proofErr w:type="spellStart"/>
            <w:r w:rsidR="00440D83">
              <w:t>Webshop</w:t>
            </w:r>
            <w:proofErr w:type="spellEnd"/>
            <w:r w:rsidRPr="0029565F">
              <w:t>.</w:t>
            </w:r>
          </w:p>
          <w:p w14:paraId="71930D9B" w14:textId="77777777" w:rsidR="00A94B44" w:rsidRPr="0029565F" w:rsidRDefault="00A94B44" w:rsidP="00123405">
            <w:pPr>
              <w:keepLines/>
              <w:rPr>
                <w:b/>
              </w:rPr>
            </w:pPr>
            <w:r w:rsidRPr="0029565F">
              <w:t xml:space="preserve">References shown in </w:t>
            </w:r>
            <w:r w:rsidRPr="0029565F">
              <w:rPr>
                <w:color w:val="0000FF"/>
                <w:u w:val="single"/>
              </w:rPr>
              <w:t>underlined blue text</w:t>
            </w:r>
            <w:r w:rsidRPr="0029565F">
              <w:t xml:space="preserve"> are hyperlinks to other parts of this document.</w:t>
            </w:r>
          </w:p>
        </w:tc>
      </w:tr>
    </w:tbl>
    <w:p w14:paraId="47FF39D2" w14:textId="77777777" w:rsidR="008F0841" w:rsidRPr="0029565F" w:rsidRDefault="008F0841" w:rsidP="00123405">
      <w:pPr>
        <w:keepLines/>
      </w:pPr>
      <w:bookmarkStart w:id="28" w:name="_Toc215311879"/>
      <w:bookmarkStart w:id="29" w:name="_Toc235263710"/>
      <w:bookmarkStart w:id="30" w:name="_Toc235263761"/>
      <w:bookmarkStart w:id="31" w:name="_Toc235265688"/>
      <w:bookmarkStart w:id="32" w:name="_Toc242769960"/>
      <w:bookmarkStart w:id="33" w:name="_Toc266704566"/>
    </w:p>
    <w:p w14:paraId="2559FD2A" w14:textId="77777777" w:rsidR="00376CD3" w:rsidRPr="0029565F" w:rsidRDefault="00376CD3" w:rsidP="00123405">
      <w:pPr>
        <w:keepLines/>
        <w:sectPr w:rsidR="00376CD3" w:rsidRPr="0029565F" w:rsidSect="006151D3">
          <w:headerReference w:type="even" r:id="rId23"/>
          <w:headerReference w:type="default" r:id="rId24"/>
          <w:footerReference w:type="even" r:id="rId25"/>
          <w:footerReference w:type="default" r:id="rId26"/>
          <w:headerReference w:type="first" r:id="rId27"/>
          <w:footerReference w:type="first" r:id="rId28"/>
          <w:pgSz w:w="11907" w:h="16840" w:code="9"/>
          <w:pgMar w:top="851" w:right="1134"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bookmarkStart w:id="34" w:name="_Toc286314850"/>
      <w:bookmarkStart w:id="35" w:name="_Toc286316175"/>
      <w:bookmarkEnd w:id="28"/>
      <w:bookmarkEnd w:id="29"/>
      <w:bookmarkEnd w:id="30"/>
      <w:bookmarkEnd w:id="31"/>
      <w:bookmarkEnd w:id="32"/>
      <w:bookmarkEnd w:id="33"/>
    </w:p>
    <w:p w14:paraId="0851FFDD" w14:textId="2938A298" w:rsidR="00DB31F7" w:rsidRPr="0029565F" w:rsidRDefault="00CA1442" w:rsidP="00456FB5">
      <w:pPr>
        <w:pStyle w:val="Default"/>
        <w:rPr>
          <w:b/>
          <w:bCs/>
          <w:color w:val="000080"/>
          <w:kern w:val="32"/>
          <w:sz w:val="36"/>
          <w:szCs w:val="32"/>
        </w:rPr>
      </w:pPr>
      <w:bookmarkStart w:id="36" w:name="_Toc286314851"/>
      <w:bookmarkStart w:id="37" w:name="_Toc286316176"/>
      <w:bookmarkEnd w:id="34"/>
      <w:bookmarkEnd w:id="35"/>
      <w:r>
        <w:rPr>
          <w:b/>
          <w:bCs/>
          <w:color w:val="000080"/>
          <w:kern w:val="32"/>
          <w:sz w:val="36"/>
          <w:szCs w:val="32"/>
        </w:rPr>
        <w:lastRenderedPageBreak/>
        <w:t>P</w:t>
      </w:r>
      <w:r w:rsidR="00DB31F7" w:rsidRPr="0029565F">
        <w:rPr>
          <w:b/>
          <w:bCs/>
          <w:color w:val="000080"/>
          <w:kern w:val="32"/>
          <w:sz w:val="36"/>
          <w:szCs w:val="32"/>
        </w:rPr>
        <w:t xml:space="preserve">ay </w:t>
      </w:r>
      <w:r w:rsidR="00C22485" w:rsidRPr="0029565F">
        <w:rPr>
          <w:b/>
          <w:bCs/>
          <w:color w:val="000080"/>
          <w:kern w:val="32"/>
          <w:sz w:val="36"/>
          <w:szCs w:val="32"/>
        </w:rPr>
        <w:t>p</w:t>
      </w:r>
      <w:r w:rsidR="00DB31F7" w:rsidRPr="0029565F">
        <w:rPr>
          <w:b/>
          <w:bCs/>
          <w:color w:val="000080"/>
          <w:kern w:val="32"/>
          <w:sz w:val="36"/>
          <w:szCs w:val="32"/>
        </w:rPr>
        <w:t>olicy for determining teachers’ pay 20</w:t>
      </w:r>
      <w:r w:rsidR="001A5560">
        <w:rPr>
          <w:b/>
          <w:bCs/>
          <w:color w:val="000080"/>
          <w:kern w:val="32"/>
          <w:sz w:val="36"/>
          <w:szCs w:val="32"/>
        </w:rPr>
        <w:t>20-21</w:t>
      </w:r>
    </w:p>
    <w:p w14:paraId="4CD17F53" w14:textId="77777777" w:rsidR="00DB31F7" w:rsidRPr="0029565F" w:rsidRDefault="00DB31F7" w:rsidP="00DB31F7">
      <w:pPr>
        <w:pStyle w:val="Default"/>
      </w:pPr>
    </w:p>
    <w:p w14:paraId="1C0E7C47" w14:textId="16466BE9" w:rsidR="00DB31F7" w:rsidRPr="0029565F" w:rsidRDefault="00DB31F7" w:rsidP="00DB31F7">
      <w:pPr>
        <w:pStyle w:val="Default"/>
      </w:pPr>
      <w:r w:rsidRPr="0029565F">
        <w:t xml:space="preserve">The </w:t>
      </w:r>
      <w:r w:rsidR="00D01FC0">
        <w:t>Governing board</w:t>
      </w:r>
      <w:r w:rsidRPr="0029565F">
        <w:t xml:space="preserve"> of </w:t>
      </w:r>
      <w:r w:rsidR="00CA1442">
        <w:t xml:space="preserve">Skylark Federation </w:t>
      </w:r>
      <w:r w:rsidRPr="0029565F">
        <w:t>School adopted this policy o</w:t>
      </w:r>
      <w:r w:rsidRPr="0029565F">
        <w:rPr>
          <w:color w:val="auto"/>
        </w:rPr>
        <w:t>n</w:t>
      </w:r>
      <w:r w:rsidRPr="0029565F">
        <w:t>____________</w:t>
      </w:r>
    </w:p>
    <w:p w14:paraId="72C2838F" w14:textId="77777777" w:rsidR="00FD2D95" w:rsidRPr="0029565F" w:rsidRDefault="00FD2D95" w:rsidP="00FD2D95">
      <w:pPr>
        <w:pStyle w:val="Heading2"/>
        <w:keepLines/>
      </w:pPr>
      <w:bookmarkStart w:id="38" w:name="_Introduction"/>
      <w:bookmarkStart w:id="39" w:name="_Toc54700377"/>
      <w:bookmarkEnd w:id="36"/>
      <w:bookmarkEnd w:id="37"/>
      <w:bookmarkEnd w:id="38"/>
      <w:r>
        <w:t>Introduction</w:t>
      </w:r>
      <w:bookmarkEnd w:id="39"/>
    </w:p>
    <w:p w14:paraId="2B3E0800" w14:textId="77777777" w:rsidR="008B703B" w:rsidRPr="0029565F" w:rsidRDefault="008B703B" w:rsidP="00FD2D95">
      <w:pPr>
        <w:numPr>
          <w:ilvl w:val="0"/>
          <w:numId w:val="14"/>
        </w:numPr>
        <w:spacing w:before="240"/>
        <w:rPr>
          <w:b/>
        </w:rPr>
      </w:pPr>
      <w:r w:rsidRPr="0029565F">
        <w:rPr>
          <w:b/>
        </w:rPr>
        <w:t>Introduction</w:t>
      </w:r>
    </w:p>
    <w:p w14:paraId="05C5B601" w14:textId="61B344DB" w:rsidR="00872F31" w:rsidRPr="00C9262C" w:rsidRDefault="00872F31" w:rsidP="00C9262C">
      <w:pPr>
        <w:keepLines/>
        <w:rPr>
          <w:rFonts w:cs="Arial"/>
          <w:color w:val="0000FF"/>
        </w:rPr>
      </w:pPr>
      <w:r w:rsidRPr="00872F31">
        <w:t xml:space="preserve">This policy should be read alongside the following documents: </w:t>
      </w:r>
      <w:r w:rsidRPr="00FD2D95">
        <w:rPr>
          <w:color w:val="0000FF"/>
        </w:rPr>
        <w:t xml:space="preserve">Supplementary guidance on teachers’ pay and the </w:t>
      </w:r>
      <w:r w:rsidR="007B3321" w:rsidRPr="00FD2D95">
        <w:rPr>
          <w:color w:val="0000FF"/>
        </w:rPr>
        <w:t>m</w:t>
      </w:r>
      <w:r w:rsidRPr="00FD2D95">
        <w:rPr>
          <w:color w:val="0000FF"/>
        </w:rPr>
        <w:t xml:space="preserve">odel pay policy </w:t>
      </w:r>
      <w:r w:rsidR="00B87458" w:rsidRPr="00FD2D95">
        <w:rPr>
          <w:color w:val="0000FF"/>
        </w:rPr>
        <w:t>20</w:t>
      </w:r>
      <w:r w:rsidR="001A5560">
        <w:rPr>
          <w:color w:val="0000FF"/>
        </w:rPr>
        <w:t>20/21</w:t>
      </w:r>
      <w:r w:rsidRPr="00FD2D95">
        <w:rPr>
          <w:color w:val="0000FF"/>
        </w:rPr>
        <w:t xml:space="preserve"> </w:t>
      </w:r>
      <w:r w:rsidR="005D70FF">
        <w:t>produced by E</w:t>
      </w:r>
      <w:r>
        <w:t>ast Sussex County Council</w:t>
      </w:r>
      <w:r w:rsidR="005D70FF">
        <w:t xml:space="preserve"> (</w:t>
      </w:r>
      <w:r w:rsidR="005D70FF" w:rsidRPr="005D70FF">
        <w:rPr>
          <w:color w:val="0000FF"/>
        </w:rPr>
        <w:t xml:space="preserve">Supplementary guidance document </w:t>
      </w:r>
      <w:r w:rsidR="005D70FF">
        <w:t>henceforth)</w:t>
      </w:r>
      <w:r w:rsidRPr="00872F31">
        <w:t xml:space="preserve">, </w:t>
      </w:r>
      <w:r w:rsidRPr="00FD2D95">
        <w:rPr>
          <w:color w:val="0000FF"/>
        </w:rPr>
        <w:t>School Teachers’ Pay and Conditions Document</w:t>
      </w:r>
      <w:r w:rsidRPr="00872F31">
        <w:t xml:space="preserve"> (STPCD) September 20</w:t>
      </w:r>
      <w:r w:rsidR="001A5560">
        <w:t>20</w:t>
      </w:r>
      <w:r w:rsidRPr="00872F31">
        <w:t xml:space="preserve">, </w:t>
      </w:r>
      <w:r w:rsidRPr="00FD2D95">
        <w:rPr>
          <w:color w:val="0000FF"/>
        </w:rPr>
        <w:t xml:space="preserve">Implementing your school’s approach to pay </w:t>
      </w:r>
      <w:r w:rsidRPr="00872F31">
        <w:t xml:space="preserve">– DfE guidance </w:t>
      </w:r>
      <w:r w:rsidR="00F870E1">
        <w:t>March 2019</w:t>
      </w:r>
      <w:r w:rsidR="005C7415">
        <w:t>, Staffing and Employment Advice – DfE guidance October 2018</w:t>
      </w:r>
      <w:r w:rsidR="00F870E1">
        <w:t xml:space="preserve">, </w:t>
      </w:r>
      <w:r w:rsidR="00F870E1">
        <w:rPr>
          <w:rFonts w:cs="Arial"/>
          <w:color w:val="0000FF"/>
        </w:rPr>
        <w:t>Teacher Appraisal and Capability Model Policy – DfE – March 2019</w:t>
      </w:r>
      <w:r w:rsidRPr="00872F31">
        <w:t xml:space="preserve"> and the </w:t>
      </w:r>
      <w:r w:rsidRPr="00FD2D95">
        <w:rPr>
          <w:color w:val="0000FF"/>
        </w:rPr>
        <w:t>East Sussex Appraisal Policy</w:t>
      </w:r>
      <w:r w:rsidRPr="00872F31">
        <w:t>.</w:t>
      </w:r>
    </w:p>
    <w:p w14:paraId="0CE3FB37" w14:textId="77777777" w:rsidR="00786E1A" w:rsidRPr="0029565F" w:rsidRDefault="0011295E" w:rsidP="00A120E2">
      <w:pPr>
        <w:pStyle w:val="Numbered"/>
        <w:keepLines/>
        <w:numPr>
          <w:ilvl w:val="1"/>
          <w:numId w:val="14"/>
        </w:numPr>
        <w:tabs>
          <w:tab w:val="num" w:pos="567"/>
        </w:tabs>
        <w:ind w:left="567" w:hanging="567"/>
        <w:outlineLvl w:val="3"/>
      </w:pPr>
      <w:r w:rsidRPr="0029565F">
        <w:t>Th</w:t>
      </w:r>
      <w:r w:rsidR="00486AF3" w:rsidRPr="0029565F">
        <w:t>is policy sets out a framework for making decisions on teachers’ pay. It has been developed to comply with current legislation and the requireme</w:t>
      </w:r>
      <w:r w:rsidR="00FD2D95">
        <w:t xml:space="preserve">nts of the STPCD </w:t>
      </w:r>
      <w:r w:rsidR="00486AF3" w:rsidRPr="0029565F">
        <w:t>and</w:t>
      </w:r>
      <w:r w:rsidR="009649A0" w:rsidRPr="0029565F">
        <w:t xml:space="preserve"> </w:t>
      </w:r>
      <w:r w:rsidR="00486AF3" w:rsidRPr="0029565F">
        <w:t xml:space="preserve">has </w:t>
      </w:r>
      <w:r w:rsidR="00C22485" w:rsidRPr="0029565F">
        <w:t xml:space="preserve">been </w:t>
      </w:r>
      <w:r w:rsidR="00486AF3" w:rsidRPr="0029565F">
        <w:t xml:space="preserve">consulted on with </w:t>
      </w:r>
      <w:r w:rsidR="005C7415">
        <w:t xml:space="preserve">headteachers and </w:t>
      </w:r>
      <w:r w:rsidR="00486AF3" w:rsidRPr="0029565F">
        <w:t>the recognised trade union</w:t>
      </w:r>
      <w:r w:rsidR="009649A0" w:rsidRPr="0029565F">
        <w:t>s</w:t>
      </w:r>
      <w:r w:rsidR="00C22485" w:rsidRPr="0029565F">
        <w:t xml:space="preserve"> on behalf of staff</w:t>
      </w:r>
      <w:r w:rsidR="009649A0" w:rsidRPr="0029565F">
        <w:t>.</w:t>
      </w:r>
      <w:r w:rsidR="00486AF3" w:rsidRPr="0029565F">
        <w:rPr>
          <w:rFonts w:cs="Arial"/>
        </w:rPr>
        <w:t xml:space="preserve">  </w:t>
      </w:r>
    </w:p>
    <w:p w14:paraId="21291EF6" w14:textId="319BE3E1" w:rsidR="00CE478C" w:rsidRPr="0029565F" w:rsidRDefault="00CE478C" w:rsidP="00A120E2">
      <w:pPr>
        <w:pStyle w:val="Numbered"/>
        <w:keepLines/>
        <w:numPr>
          <w:ilvl w:val="1"/>
          <w:numId w:val="14"/>
        </w:numPr>
        <w:tabs>
          <w:tab w:val="num" w:pos="567"/>
        </w:tabs>
        <w:ind w:left="567" w:hanging="567"/>
        <w:outlineLvl w:val="3"/>
      </w:pPr>
      <w:r w:rsidRPr="0029565F">
        <w:rPr>
          <w:rFonts w:cs="Arial"/>
        </w:rPr>
        <w:t xml:space="preserve">Please note that if a </w:t>
      </w:r>
      <w:r w:rsidR="00D01FC0">
        <w:rPr>
          <w:rFonts w:cs="Arial"/>
        </w:rPr>
        <w:t>Governing board</w:t>
      </w:r>
      <w:r w:rsidRPr="0029565F">
        <w:rPr>
          <w:rFonts w:cs="Arial"/>
        </w:rPr>
        <w:t xml:space="preserve"> decides to use an alternative version of the pay ranges to those recommended by the Local Authority as set out in this model policy, there will be a requirement for </w:t>
      </w:r>
      <w:r w:rsidR="00B87458">
        <w:rPr>
          <w:rFonts w:cs="Arial"/>
        </w:rPr>
        <w:t xml:space="preserve">the </w:t>
      </w:r>
      <w:r w:rsidR="00D01FC0">
        <w:rPr>
          <w:rFonts w:cs="Arial"/>
        </w:rPr>
        <w:t>Governing board</w:t>
      </w:r>
      <w:r w:rsidR="00B87458">
        <w:rPr>
          <w:rFonts w:cs="Arial"/>
        </w:rPr>
        <w:t xml:space="preserve"> to ensure that </w:t>
      </w:r>
      <w:r w:rsidRPr="0029565F">
        <w:rPr>
          <w:rFonts w:cs="Arial"/>
        </w:rPr>
        <w:t>a local consultation process take</w:t>
      </w:r>
      <w:r w:rsidR="00B87458">
        <w:rPr>
          <w:rFonts w:cs="Arial"/>
        </w:rPr>
        <w:t>s</w:t>
      </w:r>
      <w:r w:rsidRPr="0029565F">
        <w:rPr>
          <w:rFonts w:cs="Arial"/>
        </w:rPr>
        <w:t xml:space="preserve"> place with </w:t>
      </w:r>
      <w:r w:rsidR="00A353DE" w:rsidRPr="0029565F">
        <w:rPr>
          <w:rFonts w:cs="Arial"/>
        </w:rPr>
        <w:t xml:space="preserve">staff and </w:t>
      </w:r>
      <w:r w:rsidR="00741CBE" w:rsidRPr="0029565F">
        <w:rPr>
          <w:rFonts w:cs="Arial"/>
        </w:rPr>
        <w:t xml:space="preserve">regional </w:t>
      </w:r>
      <w:r w:rsidR="00A353DE" w:rsidRPr="0029565F">
        <w:rPr>
          <w:rFonts w:cs="Arial"/>
        </w:rPr>
        <w:t>representatives</w:t>
      </w:r>
      <w:r w:rsidR="00741CBE" w:rsidRPr="0029565F">
        <w:rPr>
          <w:rFonts w:cs="Arial"/>
        </w:rPr>
        <w:t xml:space="preserve"> of the </w:t>
      </w:r>
      <w:r w:rsidR="00FD2D95">
        <w:rPr>
          <w:rFonts w:cs="Arial"/>
        </w:rPr>
        <w:t>recognised trade unions.</w:t>
      </w:r>
      <w:r w:rsidR="00B87458">
        <w:rPr>
          <w:rFonts w:cs="Arial"/>
        </w:rPr>
        <w:t xml:space="preserve"> Advice on this process should be sought from your dedicated HR </w:t>
      </w:r>
      <w:r w:rsidR="00F870E1">
        <w:rPr>
          <w:rFonts w:cs="Arial"/>
        </w:rPr>
        <w:t>Consultant</w:t>
      </w:r>
      <w:r w:rsidR="00B87458">
        <w:rPr>
          <w:rFonts w:cs="Arial"/>
        </w:rPr>
        <w:t>.</w:t>
      </w:r>
    </w:p>
    <w:p w14:paraId="41957CC3" w14:textId="77777777" w:rsidR="00486AF3" w:rsidRPr="0029565F" w:rsidRDefault="00486AF3" w:rsidP="00A120E2">
      <w:pPr>
        <w:pStyle w:val="Numbered"/>
        <w:keepLines/>
        <w:numPr>
          <w:ilvl w:val="1"/>
          <w:numId w:val="14"/>
        </w:numPr>
        <w:tabs>
          <w:tab w:val="num" w:pos="567"/>
        </w:tabs>
        <w:ind w:left="567" w:hanging="567"/>
        <w:outlineLvl w:val="3"/>
      </w:pPr>
      <w:r w:rsidRPr="0029565F">
        <w:t>In addition to the policy, schools must stay within the legal framework set out in the STPCD and in other relevant legislation that affects all employers (for example, legislation on equality, employment protection and data protection); a court or tribunal may take any failure to do so into account in any proceedings.</w:t>
      </w:r>
    </w:p>
    <w:p w14:paraId="1EE023ED" w14:textId="77777777" w:rsidR="00486AF3" w:rsidRPr="0029565F" w:rsidRDefault="00486AF3" w:rsidP="00A120E2">
      <w:pPr>
        <w:pStyle w:val="Numbered"/>
        <w:keepLines/>
        <w:numPr>
          <w:ilvl w:val="1"/>
          <w:numId w:val="14"/>
        </w:numPr>
        <w:tabs>
          <w:tab w:val="num" w:pos="567"/>
        </w:tabs>
        <w:ind w:left="567" w:hanging="567"/>
        <w:outlineLvl w:val="3"/>
      </w:pPr>
      <w:r w:rsidRPr="0029565F">
        <w:t>All teachers are paid in accordance with the statutory provisions of the STPCD</w:t>
      </w:r>
      <w:r w:rsidR="00C22485" w:rsidRPr="0029565F">
        <w:t>,</w:t>
      </w:r>
      <w:r w:rsidRPr="0029565F">
        <w:t xml:space="preserve"> as updated from time to time. </w:t>
      </w:r>
    </w:p>
    <w:p w14:paraId="17CF01D5" w14:textId="11CB9986" w:rsidR="00486AF3" w:rsidRPr="0029565F" w:rsidRDefault="00486AF3" w:rsidP="00A120E2">
      <w:pPr>
        <w:pStyle w:val="Numbered"/>
        <w:keepLines/>
        <w:numPr>
          <w:ilvl w:val="1"/>
          <w:numId w:val="14"/>
        </w:numPr>
        <w:tabs>
          <w:tab w:val="num" w:pos="567"/>
        </w:tabs>
        <w:ind w:left="567" w:hanging="567"/>
        <w:outlineLvl w:val="3"/>
        <w:rPr>
          <w:i/>
        </w:rPr>
      </w:pPr>
      <w:r w:rsidRPr="0029565F">
        <w:t>All procedures for determining pay will be consistent with the principles of public life - objectivity, openness and accountability. In adopting this pay policy</w:t>
      </w:r>
      <w:r w:rsidR="00A51E7D">
        <w:t>,</w:t>
      </w:r>
      <w:r w:rsidRPr="0029565F">
        <w:t xml:space="preserve"> the aim is to: </w:t>
      </w:r>
      <w:r w:rsidRPr="0029565F">
        <w:rPr>
          <w:i/>
        </w:rPr>
        <w:t xml:space="preserve"> </w:t>
      </w:r>
    </w:p>
    <w:p w14:paraId="7B860DD6" w14:textId="47192F8F" w:rsidR="00486AF3" w:rsidRDefault="00486AF3" w:rsidP="00606949">
      <w:pPr>
        <w:pStyle w:val="Numbered"/>
        <w:keepLines/>
        <w:numPr>
          <w:ilvl w:val="0"/>
          <w:numId w:val="28"/>
        </w:numPr>
        <w:tabs>
          <w:tab w:val="left" w:pos="990"/>
          <w:tab w:val="num" w:pos="1080"/>
        </w:tabs>
        <w:spacing w:before="120"/>
        <w:ind w:left="994"/>
        <w:outlineLvl w:val="3"/>
        <w:rPr>
          <w:i/>
        </w:rPr>
      </w:pPr>
      <w:r w:rsidRPr="00FD2D95">
        <w:rPr>
          <w:i/>
        </w:rPr>
        <w:t xml:space="preserve">maximise the quality of teaching and learning at the school </w:t>
      </w:r>
    </w:p>
    <w:p w14:paraId="2C426A13" w14:textId="6827E58E" w:rsidR="00CA1442" w:rsidRPr="00FD2D95" w:rsidRDefault="00CA1442" w:rsidP="00606949">
      <w:pPr>
        <w:pStyle w:val="Numbered"/>
        <w:keepLines/>
        <w:numPr>
          <w:ilvl w:val="0"/>
          <w:numId w:val="28"/>
        </w:numPr>
        <w:tabs>
          <w:tab w:val="left" w:pos="990"/>
          <w:tab w:val="num" w:pos="1080"/>
        </w:tabs>
        <w:spacing w:before="120"/>
        <w:ind w:left="994"/>
        <w:outlineLvl w:val="3"/>
        <w:rPr>
          <w:i/>
        </w:rPr>
      </w:pPr>
      <w:r>
        <w:rPr>
          <w:i/>
        </w:rPr>
        <w:t xml:space="preserve">develop a progressive leadership structure to support the long term future </w:t>
      </w:r>
      <w:r w:rsidR="00403DBA">
        <w:rPr>
          <w:i/>
        </w:rPr>
        <w:t>of the schools within The Skylark Federation</w:t>
      </w:r>
    </w:p>
    <w:p w14:paraId="60CDB331" w14:textId="77777777" w:rsidR="00486AF3" w:rsidRPr="00FD2D95" w:rsidRDefault="00486AF3" w:rsidP="00606949">
      <w:pPr>
        <w:pStyle w:val="Numbered"/>
        <w:keepLines/>
        <w:numPr>
          <w:ilvl w:val="0"/>
          <w:numId w:val="28"/>
        </w:numPr>
        <w:tabs>
          <w:tab w:val="left" w:pos="990"/>
          <w:tab w:val="num" w:pos="1080"/>
        </w:tabs>
        <w:spacing w:before="120"/>
        <w:ind w:left="994"/>
        <w:outlineLvl w:val="3"/>
        <w:rPr>
          <w:i/>
        </w:rPr>
      </w:pPr>
      <w:r w:rsidRPr="00FD2D95">
        <w:rPr>
          <w:i/>
        </w:rPr>
        <w:t xml:space="preserve">support the recruitment and retention of a high quality teacher workforce </w:t>
      </w:r>
      <w:r w:rsidRPr="00FD2D95">
        <w:rPr>
          <w:i/>
        </w:rPr>
        <w:tab/>
      </w:r>
    </w:p>
    <w:p w14:paraId="4E6040BB" w14:textId="3FE3066C" w:rsidR="00486AF3" w:rsidRPr="00FD2D95" w:rsidRDefault="00486AF3" w:rsidP="00606949">
      <w:pPr>
        <w:pStyle w:val="Numbered"/>
        <w:keepLines/>
        <w:numPr>
          <w:ilvl w:val="0"/>
          <w:numId w:val="28"/>
        </w:numPr>
        <w:tabs>
          <w:tab w:val="left" w:pos="990"/>
          <w:tab w:val="num" w:pos="1080"/>
        </w:tabs>
        <w:spacing w:before="120"/>
        <w:ind w:left="994"/>
        <w:outlineLvl w:val="3"/>
        <w:rPr>
          <w:i/>
        </w:rPr>
      </w:pPr>
      <w:r w:rsidRPr="00FD2D95">
        <w:rPr>
          <w:i/>
        </w:rPr>
        <w:t xml:space="preserve">enable the </w:t>
      </w:r>
      <w:r w:rsidR="00CA1442">
        <w:rPr>
          <w:i/>
        </w:rPr>
        <w:t>federation</w:t>
      </w:r>
      <w:r w:rsidRPr="00FD2D95">
        <w:rPr>
          <w:i/>
        </w:rPr>
        <w:t xml:space="preserve"> to recognise and reward teachers appropriately for their contribution to the </w:t>
      </w:r>
      <w:r w:rsidR="00CA1442">
        <w:rPr>
          <w:i/>
        </w:rPr>
        <w:t>federation</w:t>
      </w:r>
      <w:r w:rsidRPr="00FD2D95">
        <w:rPr>
          <w:i/>
        </w:rPr>
        <w:t xml:space="preserve"> </w:t>
      </w:r>
      <w:r w:rsidRPr="00FD2D95">
        <w:rPr>
          <w:i/>
        </w:rPr>
        <w:tab/>
      </w:r>
    </w:p>
    <w:p w14:paraId="5DA02F48" w14:textId="4ACD7548" w:rsidR="00486AF3" w:rsidRPr="00FD2D95" w:rsidRDefault="00486AF3" w:rsidP="00606949">
      <w:pPr>
        <w:pStyle w:val="Numbered"/>
        <w:keepLines/>
        <w:numPr>
          <w:ilvl w:val="0"/>
          <w:numId w:val="28"/>
        </w:numPr>
        <w:tabs>
          <w:tab w:val="left" w:pos="990"/>
          <w:tab w:val="num" w:pos="1080"/>
        </w:tabs>
        <w:spacing w:before="120"/>
        <w:ind w:left="994"/>
        <w:outlineLvl w:val="3"/>
        <w:rPr>
          <w:i/>
        </w:rPr>
      </w:pPr>
      <w:r w:rsidRPr="00FD2D95">
        <w:rPr>
          <w:i/>
        </w:rPr>
        <w:t>help to ensure that decisions on pay are managed in a fair, just &amp; transparent way</w:t>
      </w:r>
    </w:p>
    <w:p w14:paraId="6542C5D4" w14:textId="76CCEF55" w:rsidR="00486AF3" w:rsidRPr="0029565F" w:rsidRDefault="00486AF3" w:rsidP="0020750A">
      <w:pPr>
        <w:pStyle w:val="Numbered"/>
        <w:keepLines/>
        <w:numPr>
          <w:ilvl w:val="1"/>
          <w:numId w:val="14"/>
        </w:numPr>
        <w:tabs>
          <w:tab w:val="num" w:pos="567"/>
        </w:tabs>
        <w:ind w:left="567" w:hanging="567"/>
        <w:outlineLvl w:val="3"/>
      </w:pPr>
      <w:r w:rsidRPr="0029565F">
        <w:t xml:space="preserve">The pay policy sets out the procedures that apply when any teacher seeks a review of any decision made by the </w:t>
      </w:r>
      <w:r w:rsidR="00403DBA">
        <w:t xml:space="preserve">executive </w:t>
      </w:r>
      <w:r w:rsidRPr="0029565F">
        <w:t xml:space="preserve">head teacher or </w:t>
      </w:r>
      <w:r w:rsidR="00D01FC0">
        <w:t>Governing board</w:t>
      </w:r>
      <w:r w:rsidRPr="0029565F">
        <w:t xml:space="preserve"> that affects their pay. The pay hearings and appeals procedure </w:t>
      </w:r>
      <w:r w:rsidR="00A51E7D" w:rsidRPr="0029565F">
        <w:t>perform</w:t>
      </w:r>
      <w:r w:rsidRPr="0029565F">
        <w:t xml:space="preserve"> the function of the grievance procedure on pay matters and therefore decisions should not be reopened under general grievance procedures. </w:t>
      </w:r>
    </w:p>
    <w:p w14:paraId="4DAC4CB4" w14:textId="00F780FC" w:rsidR="00486AF3" w:rsidRDefault="00486AF3" w:rsidP="0020750A">
      <w:pPr>
        <w:pStyle w:val="Numbered"/>
        <w:keepLines/>
        <w:numPr>
          <w:ilvl w:val="1"/>
          <w:numId w:val="14"/>
        </w:numPr>
        <w:tabs>
          <w:tab w:val="num" w:pos="567"/>
        </w:tabs>
        <w:ind w:left="567" w:hanging="567"/>
        <w:outlineLvl w:val="3"/>
      </w:pPr>
      <w:r w:rsidRPr="0029565F">
        <w:lastRenderedPageBreak/>
        <w:t xml:space="preserve">This policy will be reviewed annually or at such time that changes are made to the STPCD, in particular those affecting areas of discretion to be exercised by the </w:t>
      </w:r>
      <w:r w:rsidR="00D01FC0">
        <w:t>Governing board</w:t>
      </w:r>
      <w:r w:rsidRPr="0029565F">
        <w:t xml:space="preserve">. </w:t>
      </w:r>
    </w:p>
    <w:p w14:paraId="65301737" w14:textId="2ED6F10B" w:rsidR="00A72DB6" w:rsidRDefault="00A72DB6" w:rsidP="00A72DB6">
      <w:pPr>
        <w:pStyle w:val="Numbered"/>
        <w:keepLines/>
        <w:numPr>
          <w:ilvl w:val="1"/>
          <w:numId w:val="14"/>
        </w:numPr>
        <w:ind w:left="567" w:hanging="567"/>
        <w:outlineLvl w:val="3"/>
      </w:pPr>
      <w:r>
        <w:t>Except for teachers and leaders on the minima and maxima of their respective ranges or group ranges, schools must determine – in accordance with their own pay policy – how to take account of the uplift to the national framework in making individual pay progression decision.</w:t>
      </w:r>
    </w:p>
    <w:p w14:paraId="1B65337B" w14:textId="44FB7E5C" w:rsidR="00A72DB6" w:rsidRPr="009B7634" w:rsidRDefault="00A72DB6" w:rsidP="009B7634">
      <w:pPr>
        <w:pStyle w:val="Numbered"/>
        <w:keepLines/>
        <w:numPr>
          <w:ilvl w:val="1"/>
          <w:numId w:val="14"/>
        </w:numPr>
        <w:ind w:left="567" w:hanging="567"/>
        <w:outlineLvl w:val="3"/>
      </w:pPr>
      <w:r>
        <w:t xml:space="preserve">In order to facilitate pay determination, to support a transparent and coherent pathway and to assist with recruitment and retentions, advisory pay points for the main and upper pay ranges have been set out in Annex 3 of the STPCD.  These were recommended by the School Teachers’ Pay and Review Body (STRB) in their report and the DfE encourages schools to use them in their decision making.   </w:t>
      </w:r>
      <w:r w:rsidR="00EE3339">
        <w:t>The DfE stopped publishing national pay points from 2015.</w:t>
      </w:r>
    </w:p>
    <w:p w14:paraId="14522CCD" w14:textId="4E367DED" w:rsidR="00A72DB6" w:rsidRDefault="00A72DB6" w:rsidP="009B7634">
      <w:pPr>
        <w:pStyle w:val="Numbered"/>
        <w:keepLines/>
        <w:numPr>
          <w:ilvl w:val="1"/>
          <w:numId w:val="14"/>
        </w:numPr>
        <w:ind w:left="567" w:hanging="567"/>
        <w:outlineLvl w:val="3"/>
      </w:pPr>
      <w:r>
        <w:t xml:space="preserve">The </w:t>
      </w:r>
      <w:r w:rsidR="00392467">
        <w:t xml:space="preserve">reintroduced </w:t>
      </w:r>
      <w:r>
        <w:t>advisory pay points are advisory and not mandatory and all decisions relating to pay progression must continue to be based on performance.</w:t>
      </w:r>
    </w:p>
    <w:p w14:paraId="2A1CBD58" w14:textId="67B506AF" w:rsidR="00A72DB6" w:rsidRPr="0029565F" w:rsidRDefault="00A72DB6" w:rsidP="0020750A">
      <w:pPr>
        <w:pStyle w:val="Numbered"/>
        <w:keepLines/>
        <w:numPr>
          <w:ilvl w:val="1"/>
          <w:numId w:val="14"/>
        </w:numPr>
        <w:tabs>
          <w:tab w:val="num" w:pos="567"/>
        </w:tabs>
        <w:ind w:left="567" w:hanging="567"/>
        <w:outlineLvl w:val="3"/>
      </w:pPr>
      <w:r>
        <w:t>All pay uplifts will be backdated to 1</w:t>
      </w:r>
      <w:r w:rsidRPr="009B7634">
        <w:rPr>
          <w:vertAlign w:val="superscript"/>
        </w:rPr>
        <w:t>st</w:t>
      </w:r>
      <w:r>
        <w:t xml:space="preserve"> September 2020.</w:t>
      </w:r>
    </w:p>
    <w:p w14:paraId="66076470" w14:textId="151869D5" w:rsidR="006216E9" w:rsidRPr="00FA56CE" w:rsidRDefault="00310340" w:rsidP="0020750A">
      <w:pPr>
        <w:pStyle w:val="Numbered"/>
        <w:keepLines/>
        <w:numPr>
          <w:ilvl w:val="1"/>
          <w:numId w:val="14"/>
        </w:numPr>
        <w:tabs>
          <w:tab w:val="num" w:pos="567"/>
        </w:tabs>
        <w:ind w:left="567" w:hanging="567"/>
        <w:outlineLvl w:val="3"/>
      </w:pPr>
      <w:r w:rsidRPr="00FA56CE">
        <w:t xml:space="preserve">In relation to the </w:t>
      </w:r>
      <w:r w:rsidR="00B87458">
        <w:t>20</w:t>
      </w:r>
      <w:r w:rsidR="001A5560">
        <w:t>20/21</w:t>
      </w:r>
      <w:r w:rsidR="006216E9" w:rsidRPr="00FA56CE">
        <w:t xml:space="preserve"> </w:t>
      </w:r>
      <w:r w:rsidR="00BA1378" w:rsidRPr="00FA56CE">
        <w:t>national pay award, the</w:t>
      </w:r>
      <w:r w:rsidRPr="00FA56CE">
        <w:t xml:space="preserve"> </w:t>
      </w:r>
      <w:r w:rsidR="00D01FC0">
        <w:t>Governing board</w:t>
      </w:r>
      <w:r w:rsidRPr="00FA56CE">
        <w:t xml:space="preserve"> </w:t>
      </w:r>
      <w:r w:rsidR="00E463F5" w:rsidRPr="00FA56CE">
        <w:t>has taken the decision</w:t>
      </w:r>
      <w:r w:rsidR="00624070" w:rsidRPr="00FA56CE">
        <w:t>:</w:t>
      </w:r>
    </w:p>
    <w:p w14:paraId="44A50EBA" w14:textId="5F7EDD4D" w:rsidR="00D04003" w:rsidRDefault="00D04003" w:rsidP="00606949">
      <w:pPr>
        <w:pStyle w:val="Numbered"/>
        <w:keepLines/>
        <w:numPr>
          <w:ilvl w:val="0"/>
          <w:numId w:val="28"/>
        </w:numPr>
        <w:tabs>
          <w:tab w:val="left" w:pos="990"/>
        </w:tabs>
        <w:ind w:left="990"/>
        <w:outlineLvl w:val="3"/>
      </w:pPr>
      <w:r>
        <w:t xml:space="preserve">To </w:t>
      </w:r>
      <w:r w:rsidR="00FD2D95">
        <w:t>r</w:t>
      </w:r>
      <w:r w:rsidR="00E463F5" w:rsidRPr="00FA56CE">
        <w:t xml:space="preserve">etain the </w:t>
      </w:r>
      <w:r w:rsidR="00A72DB6">
        <w:t>advisory pay points</w:t>
      </w:r>
      <w:r w:rsidR="009B7634">
        <w:t xml:space="preserve"> (formerly known as nominal reference points</w:t>
      </w:r>
      <w:r w:rsidR="00A72DB6">
        <w:t xml:space="preserve">) </w:t>
      </w:r>
      <w:r w:rsidR="006216E9" w:rsidRPr="00FA56CE">
        <w:t xml:space="preserve">for each of the </w:t>
      </w:r>
      <w:r w:rsidR="00624070" w:rsidRPr="00FA56CE">
        <w:t xml:space="preserve">teacher and leadership </w:t>
      </w:r>
      <w:r w:rsidR="006216E9" w:rsidRPr="00FA56CE">
        <w:t>pay range</w:t>
      </w:r>
      <w:r w:rsidR="00624070" w:rsidRPr="00FA56CE">
        <w:t>s</w:t>
      </w:r>
      <w:r w:rsidR="006216E9" w:rsidRPr="00FA56CE">
        <w:t>;</w:t>
      </w:r>
    </w:p>
    <w:p w14:paraId="170083A2" w14:textId="649161BF" w:rsidR="00E47C76" w:rsidRDefault="00E47C76" w:rsidP="00606949">
      <w:pPr>
        <w:pStyle w:val="Numbered"/>
        <w:keepLines/>
        <w:numPr>
          <w:ilvl w:val="0"/>
          <w:numId w:val="28"/>
        </w:numPr>
        <w:tabs>
          <w:tab w:val="left" w:pos="990"/>
        </w:tabs>
        <w:ind w:left="990"/>
        <w:outlineLvl w:val="3"/>
      </w:pPr>
      <w:r>
        <w:t>The minimum of the main pay range is uplifted by 5.5%; the maximum of the main pay range and the minima and maxima of all other pay and allowance ranges for teachers and school leaders are uplifted by 2.75%;</w:t>
      </w:r>
    </w:p>
    <w:p w14:paraId="6DE11554" w14:textId="40C4DD39" w:rsidR="00E47C76" w:rsidRDefault="00A72DB6" w:rsidP="009B7634">
      <w:pPr>
        <w:pStyle w:val="Numbered"/>
        <w:keepLines/>
        <w:numPr>
          <w:ilvl w:val="0"/>
          <w:numId w:val="28"/>
        </w:numPr>
        <w:tabs>
          <w:tab w:val="left" w:pos="990"/>
        </w:tabs>
        <w:ind w:left="990"/>
        <w:outlineLvl w:val="3"/>
      </w:pPr>
      <w:r>
        <w:t>In accordance with Annex A of the STPCD, M2 will be uplifted by 4.95%, M3 will be uplifted by 4.4%, and M5 will be uplifted by 3.3%.</w:t>
      </w:r>
    </w:p>
    <w:p w14:paraId="2381A01A" w14:textId="382C8445" w:rsidR="00310340" w:rsidRDefault="00310340" w:rsidP="0020750A">
      <w:pPr>
        <w:pStyle w:val="Numbered"/>
        <w:keepLines/>
        <w:numPr>
          <w:ilvl w:val="1"/>
          <w:numId w:val="14"/>
        </w:numPr>
        <w:tabs>
          <w:tab w:val="num" w:pos="567"/>
        </w:tabs>
        <w:ind w:left="567" w:hanging="567"/>
        <w:outlineLvl w:val="3"/>
      </w:pPr>
      <w:r w:rsidRPr="0029565F">
        <w:t xml:space="preserve">Teachers may </w:t>
      </w:r>
      <w:r w:rsidR="00BA1378" w:rsidRPr="0029565F">
        <w:t xml:space="preserve">receive </w:t>
      </w:r>
      <w:r w:rsidRPr="0029565F">
        <w:t xml:space="preserve">a further increase </w:t>
      </w:r>
      <w:r w:rsidR="00BA1378" w:rsidRPr="0029565F">
        <w:t>in their pay based on the outcome</w:t>
      </w:r>
      <w:r w:rsidRPr="0029565F">
        <w:t xml:space="preserve"> of their performance management review</w:t>
      </w:r>
      <w:r w:rsidR="00BA1378" w:rsidRPr="0029565F">
        <w:t xml:space="preserve"> for 201</w:t>
      </w:r>
      <w:r w:rsidR="00F870E1">
        <w:t>9</w:t>
      </w:r>
      <w:r w:rsidR="00BA1378" w:rsidRPr="0029565F">
        <w:t>/</w:t>
      </w:r>
      <w:r w:rsidR="00F870E1">
        <w:t>20</w:t>
      </w:r>
      <w:r w:rsidRPr="0029565F">
        <w:t>. These decisions will be made and any pay award will be back dated to 1 September 20</w:t>
      </w:r>
      <w:r w:rsidR="00A72DB6">
        <w:t>20</w:t>
      </w:r>
      <w:r w:rsidRPr="0029565F">
        <w:t>.</w:t>
      </w:r>
    </w:p>
    <w:p w14:paraId="75A6FD43" w14:textId="3C868957" w:rsidR="00A06C99" w:rsidRPr="009B7634" w:rsidRDefault="00B242D5" w:rsidP="009B7634">
      <w:pPr>
        <w:pStyle w:val="Numbered"/>
        <w:keepLines/>
        <w:numPr>
          <w:ilvl w:val="1"/>
          <w:numId w:val="14"/>
        </w:numPr>
        <w:ind w:left="567" w:hanging="567"/>
        <w:outlineLvl w:val="3"/>
        <w:rPr>
          <w:rFonts w:cs="Arial"/>
        </w:rPr>
      </w:pPr>
      <w:r w:rsidRPr="009B7634">
        <w:rPr>
          <w:rFonts w:cs="Arial"/>
          <w:lang w:val="en"/>
        </w:rPr>
        <w:t xml:space="preserve">DfE guidance sets out that maintained schools must continue to adhere to the </w:t>
      </w:r>
      <w:r w:rsidRPr="009B7634">
        <w:rPr>
          <w:rFonts w:cs="Arial"/>
        </w:rPr>
        <w:t>STPCD)</w:t>
      </w:r>
      <w:r w:rsidRPr="009B7634">
        <w:rPr>
          <w:rFonts w:cs="Arial"/>
          <w:lang w:val="en"/>
        </w:rPr>
        <w:t xml:space="preserve"> during the pandemic, which includes the requirement to ensure that all pay progression for teachers is linked to performance management.  </w:t>
      </w:r>
      <w:r w:rsidR="00A06C99" w:rsidRPr="009B7634">
        <w:rPr>
          <w:rFonts w:cs="Arial"/>
          <w:color w:val="0B0C0C"/>
        </w:rPr>
        <w:t>However, DfE  expect</w:t>
      </w:r>
      <w:r w:rsidR="00A06C99">
        <w:rPr>
          <w:rFonts w:cs="Arial"/>
          <w:color w:val="0B0C0C"/>
        </w:rPr>
        <w:t>s</w:t>
      </w:r>
      <w:r w:rsidR="00A06C99" w:rsidRPr="009B7634">
        <w:rPr>
          <w:rFonts w:cs="Arial"/>
          <w:color w:val="0B0C0C"/>
        </w:rPr>
        <w:t xml:space="preserve"> schools to use their discretion and take pragmatic steps, consistent with the Education (School Teachers’ Appraisal) (England) Regulations 2012 to adapt performance management and appraisal arrangements to take account of the current circumstances, for example, by basing performance on the period schools were open, adjusting, if necessary, for expected trajectory had there been no closures.</w:t>
      </w:r>
    </w:p>
    <w:p w14:paraId="0A0E1F73" w14:textId="77777777" w:rsidR="00B242D5" w:rsidRPr="009B7634" w:rsidRDefault="00B242D5" w:rsidP="009B7634">
      <w:pPr>
        <w:pStyle w:val="Numbered"/>
        <w:keepLines/>
        <w:numPr>
          <w:ilvl w:val="1"/>
          <w:numId w:val="14"/>
        </w:numPr>
        <w:ind w:left="567" w:hanging="567"/>
        <w:outlineLvl w:val="3"/>
        <w:rPr>
          <w:rFonts w:cs="Arial"/>
        </w:rPr>
      </w:pPr>
      <w:r w:rsidRPr="009B7634">
        <w:rPr>
          <w:rFonts w:cs="Arial"/>
          <w:lang w:val="en"/>
        </w:rPr>
        <w:t xml:space="preserve">Schools must ensure that teachers are not </w:t>
      </w:r>
      <w:proofErr w:type="spellStart"/>
      <w:r w:rsidRPr="009B7634">
        <w:rPr>
          <w:rFonts w:cs="Arial"/>
          <w:lang w:val="en"/>
        </w:rPr>
        <w:t>penalised</w:t>
      </w:r>
      <w:proofErr w:type="spellEnd"/>
      <w:r w:rsidRPr="009B7634">
        <w:rPr>
          <w:rFonts w:cs="Arial"/>
          <w:lang w:val="en"/>
        </w:rPr>
        <w:t xml:space="preserve"> during the appraisal process or in respect of any subsequent pay progression decisions as a result of partial school closures, where this has impacted on the ability of the teacher to meet fully their objectives.</w:t>
      </w:r>
    </w:p>
    <w:p w14:paraId="5AD93E77" w14:textId="77777777" w:rsidR="00B242D5" w:rsidRPr="00DB34B1" w:rsidRDefault="00B242D5" w:rsidP="00B242D5">
      <w:pPr>
        <w:textAlignment w:val="baseline"/>
        <w:rPr>
          <w:rFonts w:cs="Calibri"/>
          <w:color w:val="0B0C0C"/>
        </w:rPr>
      </w:pPr>
      <w:r w:rsidRPr="00DB34B1">
        <w:rPr>
          <w:rFonts w:cs="Calibri"/>
          <w:color w:val="0B0C0C"/>
        </w:rPr>
        <w:t>In this context, please note the following ESCC HR advice:</w:t>
      </w:r>
    </w:p>
    <w:p w14:paraId="5B3E4434" w14:textId="77777777" w:rsidR="00B242D5" w:rsidRPr="009B7634" w:rsidRDefault="00B242D5" w:rsidP="009B7634">
      <w:pPr>
        <w:pStyle w:val="ListParagraph"/>
        <w:numPr>
          <w:ilvl w:val="0"/>
          <w:numId w:val="34"/>
        </w:numPr>
        <w:spacing w:after="0" w:line="252" w:lineRule="auto"/>
        <w:textAlignment w:val="baseline"/>
        <w:rPr>
          <w:rFonts w:ascii="Arial" w:hAnsi="Arial" w:cs="Arial"/>
          <w:color w:val="0B0C0C"/>
          <w:sz w:val="24"/>
          <w:szCs w:val="24"/>
        </w:rPr>
      </w:pPr>
      <w:r w:rsidRPr="009B7634">
        <w:rPr>
          <w:rFonts w:ascii="Arial" w:hAnsi="Arial" w:cs="Arial"/>
          <w:color w:val="0B0C0C"/>
          <w:sz w:val="24"/>
          <w:szCs w:val="24"/>
        </w:rPr>
        <w:t xml:space="preserve">Pay progression </w:t>
      </w:r>
      <w:r w:rsidRPr="009B7634">
        <w:rPr>
          <w:rFonts w:ascii="Arial" w:hAnsi="Arial" w:cs="Arial"/>
          <w:b/>
          <w:bCs/>
          <w:color w:val="0B0C0C"/>
          <w:sz w:val="24"/>
          <w:szCs w:val="24"/>
          <w:u w:val="single"/>
        </w:rPr>
        <w:t>should not be considered to be</w:t>
      </w:r>
      <w:r w:rsidRPr="009B7634">
        <w:rPr>
          <w:rFonts w:ascii="Arial" w:hAnsi="Arial" w:cs="Arial"/>
          <w:color w:val="0B0C0C"/>
          <w:sz w:val="24"/>
          <w:szCs w:val="24"/>
        </w:rPr>
        <w:t xml:space="preserve"> automatic for teachers eligible for progression from 1</w:t>
      </w:r>
      <w:r w:rsidRPr="009B7634">
        <w:rPr>
          <w:rFonts w:ascii="Arial" w:hAnsi="Arial" w:cs="Arial"/>
          <w:color w:val="0B0C0C"/>
          <w:sz w:val="24"/>
          <w:szCs w:val="24"/>
          <w:vertAlign w:val="superscript"/>
        </w:rPr>
        <w:t>st</w:t>
      </w:r>
      <w:r w:rsidRPr="009B7634">
        <w:rPr>
          <w:rFonts w:ascii="Arial" w:hAnsi="Arial" w:cs="Arial"/>
          <w:color w:val="0B0C0C"/>
          <w:sz w:val="24"/>
          <w:szCs w:val="24"/>
        </w:rPr>
        <w:t xml:space="preserve"> September 2020;</w:t>
      </w:r>
    </w:p>
    <w:p w14:paraId="7ECB6B15" w14:textId="77777777" w:rsidR="00B242D5" w:rsidRPr="009B7634" w:rsidRDefault="00B242D5" w:rsidP="009B7634">
      <w:pPr>
        <w:pStyle w:val="ListParagraph"/>
        <w:numPr>
          <w:ilvl w:val="0"/>
          <w:numId w:val="34"/>
        </w:numPr>
        <w:spacing w:after="0" w:line="252" w:lineRule="auto"/>
        <w:textAlignment w:val="baseline"/>
        <w:rPr>
          <w:rFonts w:ascii="Arial" w:hAnsi="Arial" w:cs="Arial"/>
          <w:color w:val="0B0C0C"/>
          <w:sz w:val="24"/>
          <w:szCs w:val="24"/>
        </w:rPr>
      </w:pPr>
      <w:r w:rsidRPr="009B7634">
        <w:rPr>
          <w:rFonts w:ascii="Arial" w:hAnsi="Arial" w:cs="Arial"/>
          <w:color w:val="0B0C0C"/>
          <w:sz w:val="24"/>
          <w:szCs w:val="24"/>
        </w:rPr>
        <w:t>Schools should follow the process for performance management and appraisal in the usual way in accordance with the school’s policy, and consider adaption, where appropriate, as set out in the DfE guidance above;</w:t>
      </w:r>
    </w:p>
    <w:p w14:paraId="5CD80FEB" w14:textId="77777777" w:rsidR="00B242D5" w:rsidRPr="009B7634" w:rsidRDefault="00B242D5" w:rsidP="009B7634">
      <w:pPr>
        <w:pStyle w:val="ListParagraph"/>
        <w:numPr>
          <w:ilvl w:val="0"/>
          <w:numId w:val="34"/>
        </w:numPr>
        <w:spacing w:after="0" w:line="252" w:lineRule="auto"/>
        <w:textAlignment w:val="baseline"/>
        <w:rPr>
          <w:rFonts w:ascii="Arial" w:hAnsi="Arial" w:cs="Arial"/>
          <w:color w:val="0B0C0C"/>
          <w:sz w:val="24"/>
          <w:szCs w:val="24"/>
        </w:rPr>
      </w:pPr>
      <w:r w:rsidRPr="009B7634">
        <w:rPr>
          <w:rFonts w:ascii="Arial" w:hAnsi="Arial" w:cs="Arial"/>
          <w:color w:val="0B0C0C"/>
          <w:sz w:val="24"/>
          <w:szCs w:val="24"/>
        </w:rPr>
        <w:t>Schools should follow the guidance set out in their Pay Policy in relation to pay progression, including applications to move from the main pay range to the upper pay range;</w:t>
      </w:r>
    </w:p>
    <w:p w14:paraId="67E79DFC" w14:textId="77777777" w:rsidR="00B242D5" w:rsidRPr="009B7634" w:rsidRDefault="00B242D5" w:rsidP="009B7634">
      <w:pPr>
        <w:pStyle w:val="ListParagraph"/>
        <w:numPr>
          <w:ilvl w:val="0"/>
          <w:numId w:val="34"/>
        </w:numPr>
        <w:spacing w:after="0" w:line="252" w:lineRule="auto"/>
        <w:textAlignment w:val="baseline"/>
        <w:rPr>
          <w:rFonts w:ascii="Arial" w:hAnsi="Arial" w:cs="Arial"/>
          <w:b/>
          <w:bCs/>
          <w:color w:val="0B0C0C"/>
          <w:sz w:val="24"/>
          <w:szCs w:val="24"/>
          <w:u w:val="single"/>
        </w:rPr>
      </w:pPr>
      <w:r w:rsidRPr="009B7634">
        <w:rPr>
          <w:rFonts w:ascii="Arial" w:hAnsi="Arial" w:cs="Arial"/>
          <w:color w:val="0B0C0C"/>
          <w:sz w:val="24"/>
          <w:szCs w:val="24"/>
        </w:rPr>
        <w:t xml:space="preserve">Schools should remind themselves of the appeal process set out in Appendix E of the East Sussex Model Pay Policy – Managing Appeals against Pay Determination </w:t>
      </w:r>
      <w:r w:rsidRPr="009B7634">
        <w:rPr>
          <w:rFonts w:ascii="Arial" w:hAnsi="Arial" w:cs="Arial"/>
          <w:b/>
          <w:bCs/>
          <w:color w:val="0B0C0C"/>
          <w:sz w:val="24"/>
          <w:szCs w:val="24"/>
          <w:u w:val="single"/>
        </w:rPr>
        <w:t>before any decisions on pay determination are made.</w:t>
      </w:r>
    </w:p>
    <w:p w14:paraId="2EB9C871" w14:textId="77777777" w:rsidR="00392467" w:rsidRPr="0029565F" w:rsidRDefault="00392467" w:rsidP="009B7634">
      <w:pPr>
        <w:pStyle w:val="Numbered"/>
        <w:keepLines/>
        <w:ind w:left="567"/>
        <w:outlineLvl w:val="3"/>
      </w:pPr>
    </w:p>
    <w:p w14:paraId="3EE7BEC4" w14:textId="575FF3E3" w:rsidR="00486AF3" w:rsidRPr="0029565F" w:rsidRDefault="00486AF3" w:rsidP="0020750A">
      <w:pPr>
        <w:pStyle w:val="Numbered"/>
        <w:keepLines/>
        <w:numPr>
          <w:ilvl w:val="1"/>
          <w:numId w:val="14"/>
        </w:numPr>
        <w:tabs>
          <w:tab w:val="num" w:pos="567"/>
        </w:tabs>
        <w:ind w:left="567" w:hanging="567"/>
        <w:outlineLvl w:val="3"/>
        <w:rPr>
          <w:b/>
        </w:rPr>
      </w:pPr>
      <w:r w:rsidRPr="0029565F">
        <w:t xml:space="preserve">A copy of the school structure plan is shown in </w:t>
      </w:r>
      <w:hyperlink w:anchor="_Appendix_A_-" w:history="1">
        <w:r w:rsidRPr="0029565F">
          <w:rPr>
            <w:rStyle w:val="Hyperlink"/>
          </w:rPr>
          <w:t>Appendix A</w:t>
        </w:r>
      </w:hyperlink>
      <w:r w:rsidRPr="0029565F">
        <w:t>.</w:t>
      </w:r>
      <w:r w:rsidR="009649A0" w:rsidRPr="0029565F">
        <w:t xml:space="preserve"> </w:t>
      </w:r>
    </w:p>
    <w:p w14:paraId="5B8E3D51" w14:textId="5928958C" w:rsidR="009649A0" w:rsidRPr="0029565F" w:rsidRDefault="00486AF3" w:rsidP="009649A0">
      <w:pPr>
        <w:pStyle w:val="Numbered"/>
        <w:keepLines/>
        <w:numPr>
          <w:ilvl w:val="1"/>
          <w:numId w:val="14"/>
        </w:numPr>
        <w:tabs>
          <w:tab w:val="num" w:pos="567"/>
        </w:tabs>
        <w:ind w:left="567" w:hanging="567"/>
        <w:outlineLvl w:val="3"/>
        <w:rPr>
          <w:b/>
        </w:rPr>
      </w:pPr>
      <w:r w:rsidRPr="0029565F">
        <w:t>Th</w:t>
      </w:r>
      <w:r w:rsidR="009649A0" w:rsidRPr="0029565F">
        <w:t>is</w:t>
      </w:r>
      <w:r w:rsidRPr="0029565F">
        <w:t xml:space="preserve"> policy does not apply to support staff; </w:t>
      </w:r>
      <w:r w:rsidR="009877C8" w:rsidRPr="0029565F">
        <w:t>however,</w:t>
      </w:r>
      <w:r w:rsidRPr="0029565F">
        <w:t xml:space="preserve"> </w:t>
      </w:r>
      <w:r w:rsidR="009649A0" w:rsidRPr="0029565F">
        <w:t>the</w:t>
      </w:r>
      <w:r w:rsidRPr="0029565F">
        <w:t xml:space="preserve"> framework for support staff is attached at </w:t>
      </w:r>
      <w:hyperlink w:anchor="_Appendix_B_–" w:history="1">
        <w:r w:rsidRPr="0029565F">
          <w:rPr>
            <w:rStyle w:val="Hyperlink"/>
          </w:rPr>
          <w:t>Appendix B</w:t>
        </w:r>
      </w:hyperlink>
      <w:r w:rsidRPr="0029565F">
        <w:t>.</w:t>
      </w:r>
      <w:r w:rsidR="009649A0" w:rsidRPr="0029565F">
        <w:t xml:space="preserve"> </w:t>
      </w:r>
    </w:p>
    <w:p w14:paraId="7AD33DA4" w14:textId="77777777" w:rsidR="005A1A72" w:rsidRPr="0029565F" w:rsidRDefault="00D01FC0" w:rsidP="00FD2D95">
      <w:pPr>
        <w:numPr>
          <w:ilvl w:val="0"/>
          <w:numId w:val="14"/>
        </w:numPr>
        <w:spacing w:before="240"/>
        <w:rPr>
          <w:b/>
        </w:rPr>
      </w:pPr>
      <w:r>
        <w:rPr>
          <w:b/>
        </w:rPr>
        <w:t>Governing board</w:t>
      </w:r>
      <w:r w:rsidR="00C22485" w:rsidRPr="0029565F">
        <w:rPr>
          <w:b/>
        </w:rPr>
        <w:t>’s r</w:t>
      </w:r>
      <w:r w:rsidR="00676918" w:rsidRPr="0029565F">
        <w:rPr>
          <w:b/>
        </w:rPr>
        <w:t xml:space="preserve">esponsibility for </w:t>
      </w:r>
      <w:r w:rsidR="00C22485" w:rsidRPr="0029565F">
        <w:rPr>
          <w:b/>
        </w:rPr>
        <w:t>p</w:t>
      </w:r>
      <w:r w:rsidR="00676918" w:rsidRPr="0029565F">
        <w:rPr>
          <w:b/>
        </w:rPr>
        <w:t>ay</w:t>
      </w:r>
    </w:p>
    <w:p w14:paraId="14F0A807" w14:textId="416B9487" w:rsidR="00FD2D95" w:rsidRDefault="00676918" w:rsidP="00676918">
      <w:pPr>
        <w:pStyle w:val="Numbered"/>
        <w:keepLines/>
        <w:numPr>
          <w:ilvl w:val="1"/>
          <w:numId w:val="14"/>
        </w:numPr>
        <w:spacing w:after="0"/>
        <w:ind w:left="567" w:hanging="567"/>
        <w:outlineLvl w:val="3"/>
        <w:rPr>
          <w:rFonts w:cs="Arial"/>
        </w:rPr>
      </w:pPr>
      <w:r w:rsidRPr="0029565F">
        <w:rPr>
          <w:rFonts w:cs="Arial"/>
        </w:rPr>
        <w:t xml:space="preserve">Pay decisions at this </w:t>
      </w:r>
      <w:r w:rsidR="00A1210E">
        <w:rPr>
          <w:rFonts w:cs="Arial"/>
        </w:rPr>
        <w:t>Federation</w:t>
      </w:r>
      <w:r w:rsidRPr="0029565F">
        <w:rPr>
          <w:rFonts w:cs="Arial"/>
        </w:rPr>
        <w:t xml:space="preserve"> are made </w:t>
      </w:r>
      <w:r w:rsidR="00C22485" w:rsidRPr="0029565F">
        <w:rPr>
          <w:rFonts w:cs="Arial"/>
        </w:rPr>
        <w:t xml:space="preserve">in accordance with </w:t>
      </w:r>
      <w:r w:rsidR="00FB57A9" w:rsidRPr="0029565F">
        <w:rPr>
          <w:rFonts w:cs="Arial"/>
        </w:rPr>
        <w:t xml:space="preserve">arrangements agreed by the </w:t>
      </w:r>
      <w:r w:rsidR="00D01FC0">
        <w:rPr>
          <w:rFonts w:cs="Arial"/>
        </w:rPr>
        <w:t>Governing board</w:t>
      </w:r>
      <w:r w:rsidR="00FB57A9" w:rsidRPr="0029565F">
        <w:rPr>
          <w:rFonts w:cs="Arial"/>
        </w:rPr>
        <w:t>.</w:t>
      </w:r>
    </w:p>
    <w:p w14:paraId="6F6ADA4C" w14:textId="77777777" w:rsidR="00FD2D95" w:rsidRDefault="00FD2D95" w:rsidP="00FD2D95">
      <w:pPr>
        <w:pStyle w:val="Numbered"/>
        <w:keepLines/>
        <w:spacing w:after="0"/>
        <w:ind w:left="567"/>
        <w:outlineLvl w:val="3"/>
        <w:rPr>
          <w:rFonts w:cs="Arial"/>
        </w:rPr>
      </w:pPr>
    </w:p>
    <w:p w14:paraId="2C683CFE" w14:textId="77777777" w:rsidR="00676918" w:rsidRPr="0029565F" w:rsidRDefault="00676918" w:rsidP="0020750A">
      <w:pPr>
        <w:pStyle w:val="Numbered"/>
        <w:keepLines/>
        <w:numPr>
          <w:ilvl w:val="1"/>
          <w:numId w:val="14"/>
        </w:numPr>
        <w:tabs>
          <w:tab w:val="num" w:pos="567"/>
        </w:tabs>
        <w:ind w:left="567" w:hanging="567"/>
        <w:outlineLvl w:val="3"/>
      </w:pPr>
      <w:r w:rsidRPr="0029565F">
        <w:t xml:space="preserve">The party or parties responsible for pay decisions will be referred to as the </w:t>
      </w:r>
      <w:r w:rsidR="00D01FC0">
        <w:t>Governing board</w:t>
      </w:r>
      <w:r w:rsidRPr="0029565F">
        <w:t xml:space="preserve"> throughout the policy.</w:t>
      </w:r>
    </w:p>
    <w:p w14:paraId="35F89778" w14:textId="25EE2AAA" w:rsidR="00676918" w:rsidRPr="0029565F" w:rsidRDefault="00676918" w:rsidP="00CC4AB3">
      <w:pPr>
        <w:pStyle w:val="Numbered"/>
        <w:keepLines/>
        <w:numPr>
          <w:ilvl w:val="1"/>
          <w:numId w:val="14"/>
        </w:numPr>
        <w:tabs>
          <w:tab w:val="num" w:pos="567"/>
        </w:tabs>
        <w:ind w:left="567" w:hanging="567"/>
        <w:outlineLvl w:val="3"/>
        <w:rPr>
          <w:b/>
        </w:rPr>
      </w:pPr>
      <w:r w:rsidRPr="0029565F">
        <w:t xml:space="preserve">Please refer to </w:t>
      </w:r>
      <w:hyperlink w:anchor="_Appendix_C_-" w:history="1">
        <w:r w:rsidRPr="0029565F">
          <w:rPr>
            <w:rStyle w:val="Hyperlink"/>
          </w:rPr>
          <w:t>Appendix C</w:t>
        </w:r>
      </w:hyperlink>
      <w:r w:rsidRPr="0029565F">
        <w:t xml:space="preserve"> for details of Model Terms of Reference for School Pay Committee.</w:t>
      </w:r>
      <w:r w:rsidR="00CC4AB3" w:rsidRPr="0029565F">
        <w:rPr>
          <w:b/>
        </w:rPr>
        <w:t>)</w:t>
      </w:r>
    </w:p>
    <w:p w14:paraId="1CD79D1B" w14:textId="77777777" w:rsidR="005A1A72" w:rsidRPr="0029565F" w:rsidRDefault="00676918" w:rsidP="0020750A">
      <w:pPr>
        <w:pStyle w:val="Numbered"/>
        <w:keepLines/>
        <w:numPr>
          <w:ilvl w:val="1"/>
          <w:numId w:val="14"/>
        </w:numPr>
        <w:tabs>
          <w:tab w:val="num" w:pos="567"/>
        </w:tabs>
        <w:ind w:left="567" w:hanging="567"/>
        <w:outlineLvl w:val="3"/>
      </w:pPr>
      <w:r w:rsidRPr="0029565F">
        <w:t xml:space="preserve">Please also refer to </w:t>
      </w:r>
      <w:r w:rsidR="00DC6443" w:rsidRPr="0029565F">
        <w:t xml:space="preserve">section </w:t>
      </w:r>
      <w:r w:rsidR="00DB6251" w:rsidRPr="0029565F">
        <w:t xml:space="preserve">2 </w:t>
      </w:r>
      <w:r w:rsidR="00DC6443" w:rsidRPr="0029565F">
        <w:t xml:space="preserve">of the </w:t>
      </w:r>
      <w:r w:rsidR="005D70FF" w:rsidRPr="005D70FF">
        <w:rPr>
          <w:color w:val="0000FF"/>
        </w:rPr>
        <w:t>Supplementary guidance document</w:t>
      </w:r>
      <w:r w:rsidR="00541F9F">
        <w:rPr>
          <w:color w:val="0000FF"/>
        </w:rPr>
        <w:t xml:space="preserve"> </w:t>
      </w:r>
      <w:r w:rsidR="00FD2D95">
        <w:t xml:space="preserve">available on </w:t>
      </w:r>
      <w:proofErr w:type="spellStart"/>
      <w:r w:rsidR="00FD2D95">
        <w:t>Webshop</w:t>
      </w:r>
      <w:proofErr w:type="spellEnd"/>
      <w:r w:rsidR="005A1A72" w:rsidRPr="0029565F">
        <w:t>.</w:t>
      </w:r>
    </w:p>
    <w:p w14:paraId="16B2C55D" w14:textId="77777777" w:rsidR="00E07CD2" w:rsidRPr="0029565F" w:rsidRDefault="00E07CD2" w:rsidP="00FD2D95">
      <w:pPr>
        <w:numPr>
          <w:ilvl w:val="0"/>
          <w:numId w:val="14"/>
        </w:numPr>
        <w:spacing w:before="240"/>
        <w:rPr>
          <w:b/>
        </w:rPr>
      </w:pPr>
      <w:r w:rsidRPr="0029565F">
        <w:rPr>
          <w:b/>
        </w:rPr>
        <w:t xml:space="preserve">Teacher </w:t>
      </w:r>
      <w:r w:rsidR="00DC6443" w:rsidRPr="0029565F">
        <w:rPr>
          <w:b/>
        </w:rPr>
        <w:t>p</w:t>
      </w:r>
      <w:r w:rsidRPr="0029565F">
        <w:rPr>
          <w:b/>
        </w:rPr>
        <w:t xml:space="preserve">ay </w:t>
      </w:r>
      <w:r w:rsidR="00DC6443" w:rsidRPr="0029565F">
        <w:rPr>
          <w:b/>
        </w:rPr>
        <w:t>r</w:t>
      </w:r>
      <w:r w:rsidRPr="0029565F">
        <w:rPr>
          <w:b/>
        </w:rPr>
        <w:t xml:space="preserve">eviews </w:t>
      </w:r>
    </w:p>
    <w:p w14:paraId="634A4F3C" w14:textId="77777777" w:rsidR="00401FC5" w:rsidRPr="0029565F" w:rsidRDefault="00E07CD2" w:rsidP="0020750A">
      <w:pPr>
        <w:pStyle w:val="Numbered"/>
        <w:keepLines/>
        <w:numPr>
          <w:ilvl w:val="1"/>
          <w:numId w:val="14"/>
        </w:numPr>
        <w:tabs>
          <w:tab w:val="num" w:pos="567"/>
        </w:tabs>
        <w:ind w:left="567" w:hanging="567"/>
        <w:outlineLvl w:val="3"/>
      </w:pPr>
      <w:r w:rsidRPr="0029565F">
        <w:t xml:space="preserve">The </w:t>
      </w:r>
      <w:r w:rsidR="00D01FC0">
        <w:t>Governing board</w:t>
      </w:r>
      <w:r w:rsidRPr="0029565F">
        <w:t xml:space="preserve"> will ensure that each teacher’s salary is reviewed annually, with effect from 1 September and no later than 31 October each year, and that all teachers are given a written statement setting out their salary and any other financial benefits to which they are entitled. </w:t>
      </w:r>
    </w:p>
    <w:p w14:paraId="34CE9175" w14:textId="77777777" w:rsidR="00E07CD2" w:rsidRPr="0029565F" w:rsidRDefault="004667E1" w:rsidP="00401FC5">
      <w:pPr>
        <w:pStyle w:val="Numbered"/>
        <w:keepLines/>
        <w:numPr>
          <w:ilvl w:val="1"/>
          <w:numId w:val="14"/>
        </w:numPr>
        <w:tabs>
          <w:tab w:val="num" w:pos="567"/>
        </w:tabs>
        <w:ind w:left="567" w:hanging="567"/>
        <w:outlineLvl w:val="3"/>
        <w:rPr>
          <w:sz w:val="23"/>
          <w:szCs w:val="23"/>
          <w:lang w:val="en-US" w:eastAsia="en-US"/>
        </w:rPr>
      </w:pPr>
      <w:r w:rsidRPr="0029565F">
        <w:t>Any pay decision will be backdated to 1 September of the relevant year</w:t>
      </w:r>
      <w:r w:rsidR="00401FC5" w:rsidRPr="0029565F">
        <w:t xml:space="preserve">, except where a teacher takes up a new post, makes a successful application to the upper pay range or is subject to any other change of salary in accordance with the STPCD in which case this may occur </w:t>
      </w:r>
      <w:r w:rsidR="00401FC5" w:rsidRPr="0029565F">
        <w:rPr>
          <w:lang w:val="en-US" w:eastAsia="en-US"/>
        </w:rPr>
        <w:t xml:space="preserve">on a date other than that </w:t>
      </w:r>
      <w:r w:rsidR="0002762E" w:rsidRPr="0029565F">
        <w:rPr>
          <w:lang w:val="en-US" w:eastAsia="en-US"/>
        </w:rPr>
        <w:t>f</w:t>
      </w:r>
      <w:r w:rsidR="00401FC5" w:rsidRPr="0029565F">
        <w:rPr>
          <w:lang w:val="en-US" w:eastAsia="en-US"/>
        </w:rPr>
        <w:t>or the annual salary determination</w:t>
      </w:r>
      <w:r w:rsidR="0078259F">
        <w:rPr>
          <w:lang w:val="en-US" w:eastAsia="en-US"/>
        </w:rPr>
        <w:t>.</w:t>
      </w:r>
      <w:r w:rsidR="00401FC5" w:rsidRPr="0029565F">
        <w:rPr>
          <w:sz w:val="23"/>
          <w:szCs w:val="23"/>
          <w:lang w:val="en-US" w:eastAsia="en-US"/>
        </w:rPr>
        <w:t xml:space="preserve"> </w:t>
      </w:r>
    </w:p>
    <w:p w14:paraId="73AEF51D" w14:textId="77777777" w:rsidR="002853D4" w:rsidRPr="0029565F" w:rsidRDefault="00E07CD2" w:rsidP="0020750A">
      <w:pPr>
        <w:pStyle w:val="Numbered"/>
        <w:keepLines/>
        <w:numPr>
          <w:ilvl w:val="1"/>
          <w:numId w:val="14"/>
        </w:numPr>
        <w:tabs>
          <w:tab w:val="num" w:pos="567"/>
        </w:tabs>
        <w:ind w:left="567" w:hanging="567"/>
        <w:outlineLvl w:val="3"/>
      </w:pPr>
      <w:r w:rsidRPr="0029565F">
        <w:t xml:space="preserve">Where a pay determination leads or may lead to the start of a period of safeguarding, governors will give the required notification as soon as possible and no later than one month after the date of the determination. </w:t>
      </w:r>
      <w:r w:rsidR="002853D4" w:rsidRPr="0029565F">
        <w:t xml:space="preserve"> </w:t>
      </w:r>
    </w:p>
    <w:p w14:paraId="19FE61E8" w14:textId="77777777" w:rsidR="00C809F8" w:rsidRPr="0029565F" w:rsidRDefault="00E07CD2" w:rsidP="00FD2D95">
      <w:pPr>
        <w:numPr>
          <w:ilvl w:val="0"/>
          <w:numId w:val="14"/>
        </w:numPr>
        <w:spacing w:before="240"/>
        <w:rPr>
          <w:b/>
        </w:rPr>
      </w:pPr>
      <w:r w:rsidRPr="0029565F">
        <w:rPr>
          <w:b/>
        </w:rPr>
        <w:t xml:space="preserve">Basic </w:t>
      </w:r>
      <w:r w:rsidR="00097DE7" w:rsidRPr="0029565F">
        <w:rPr>
          <w:b/>
        </w:rPr>
        <w:t>p</w:t>
      </w:r>
      <w:r w:rsidRPr="0029565F">
        <w:rPr>
          <w:b/>
        </w:rPr>
        <w:t xml:space="preserve">ay </w:t>
      </w:r>
      <w:r w:rsidR="00097DE7" w:rsidRPr="0029565F">
        <w:rPr>
          <w:b/>
        </w:rPr>
        <w:t>d</w:t>
      </w:r>
      <w:r w:rsidRPr="0029565F">
        <w:rPr>
          <w:b/>
        </w:rPr>
        <w:t xml:space="preserve">etermination on </w:t>
      </w:r>
      <w:r w:rsidR="00097DE7" w:rsidRPr="0029565F">
        <w:rPr>
          <w:b/>
        </w:rPr>
        <w:t>a</w:t>
      </w:r>
      <w:r w:rsidRPr="0029565F">
        <w:rPr>
          <w:b/>
        </w:rPr>
        <w:t>ppointment</w:t>
      </w:r>
    </w:p>
    <w:p w14:paraId="4EFECB3C" w14:textId="77777777" w:rsidR="003A167F" w:rsidRPr="00FD2D95" w:rsidRDefault="00E07CD2" w:rsidP="003A167F">
      <w:pPr>
        <w:pStyle w:val="Numbered"/>
        <w:keepLines/>
        <w:numPr>
          <w:ilvl w:val="1"/>
          <w:numId w:val="14"/>
        </w:numPr>
        <w:spacing w:after="0"/>
        <w:ind w:left="567" w:hanging="567"/>
        <w:outlineLvl w:val="3"/>
        <w:rPr>
          <w:rFonts w:cs="Arial"/>
        </w:rPr>
      </w:pPr>
      <w:r w:rsidRPr="0029565F">
        <w:rPr>
          <w:rFonts w:cs="Arial"/>
        </w:rPr>
        <w:t xml:space="preserve">The </w:t>
      </w:r>
      <w:r w:rsidR="00D01FC0">
        <w:rPr>
          <w:rFonts w:cs="Arial"/>
        </w:rPr>
        <w:t>Governing board</w:t>
      </w:r>
      <w:r w:rsidRPr="0029565F">
        <w:rPr>
          <w:rFonts w:cs="Arial"/>
        </w:rPr>
        <w:t xml:space="preserve"> will determine the teacher pay range/s for a vacancy prior t</w:t>
      </w:r>
      <w:r w:rsidR="003A167F" w:rsidRPr="0029565F">
        <w:rPr>
          <w:rFonts w:cs="Arial"/>
        </w:rPr>
        <w:t xml:space="preserve">o advertising it giving regard to: </w:t>
      </w:r>
    </w:p>
    <w:p w14:paraId="4FB25038" w14:textId="77777777" w:rsidR="003A167F" w:rsidRPr="0029565F" w:rsidRDefault="003A167F" w:rsidP="00606949">
      <w:pPr>
        <w:pStyle w:val="Numbered"/>
        <w:keepLines/>
        <w:numPr>
          <w:ilvl w:val="0"/>
          <w:numId w:val="28"/>
        </w:numPr>
        <w:tabs>
          <w:tab w:val="left" w:pos="990"/>
          <w:tab w:val="num" w:pos="1080"/>
        </w:tabs>
        <w:spacing w:before="120"/>
        <w:ind w:left="994"/>
        <w:outlineLvl w:val="3"/>
        <w:rPr>
          <w:i/>
        </w:rPr>
      </w:pPr>
      <w:r w:rsidRPr="0029565F">
        <w:rPr>
          <w:i/>
        </w:rPr>
        <w:t>the particular requirements of the post</w:t>
      </w:r>
    </w:p>
    <w:p w14:paraId="06BC51C8" w14:textId="41A8250A" w:rsidR="003A167F" w:rsidRPr="0029565F" w:rsidRDefault="003A167F" w:rsidP="00606949">
      <w:pPr>
        <w:pStyle w:val="Numbered"/>
        <w:keepLines/>
        <w:numPr>
          <w:ilvl w:val="0"/>
          <w:numId w:val="28"/>
        </w:numPr>
        <w:tabs>
          <w:tab w:val="left" w:pos="990"/>
          <w:tab w:val="num" w:pos="1080"/>
        </w:tabs>
        <w:spacing w:before="120"/>
        <w:ind w:left="994"/>
        <w:outlineLvl w:val="3"/>
        <w:rPr>
          <w:i/>
        </w:rPr>
      </w:pPr>
      <w:r w:rsidRPr="0029565F">
        <w:rPr>
          <w:i/>
        </w:rPr>
        <w:t xml:space="preserve">any </w:t>
      </w:r>
      <w:r w:rsidR="00D21385" w:rsidRPr="0029565F">
        <w:rPr>
          <w:i/>
        </w:rPr>
        <w:t>specialist knowledge</w:t>
      </w:r>
      <w:r w:rsidRPr="0029565F">
        <w:rPr>
          <w:i/>
        </w:rPr>
        <w:t>, skills or experience required to undertake the specific duties of the role</w:t>
      </w:r>
    </w:p>
    <w:p w14:paraId="019A2C8B" w14:textId="77777777" w:rsidR="003A167F" w:rsidRPr="0029565F" w:rsidRDefault="003A167F" w:rsidP="00606949">
      <w:pPr>
        <w:pStyle w:val="Numbered"/>
        <w:keepLines/>
        <w:numPr>
          <w:ilvl w:val="0"/>
          <w:numId w:val="28"/>
        </w:numPr>
        <w:tabs>
          <w:tab w:val="left" w:pos="990"/>
          <w:tab w:val="num" w:pos="1080"/>
        </w:tabs>
        <w:spacing w:before="120"/>
        <w:ind w:left="994"/>
        <w:outlineLvl w:val="3"/>
        <w:rPr>
          <w:i/>
        </w:rPr>
      </w:pPr>
      <w:r w:rsidRPr="0029565F">
        <w:rPr>
          <w:i/>
        </w:rPr>
        <w:t>market conditions</w:t>
      </w:r>
    </w:p>
    <w:p w14:paraId="12AB7D88" w14:textId="77777777" w:rsidR="003A167F" w:rsidRPr="00FD2D95" w:rsidRDefault="003A167F" w:rsidP="00606949">
      <w:pPr>
        <w:pStyle w:val="Numbered"/>
        <w:keepLines/>
        <w:numPr>
          <w:ilvl w:val="0"/>
          <w:numId w:val="28"/>
        </w:numPr>
        <w:tabs>
          <w:tab w:val="left" w:pos="990"/>
          <w:tab w:val="num" w:pos="1080"/>
        </w:tabs>
        <w:spacing w:before="120"/>
        <w:ind w:left="994"/>
        <w:outlineLvl w:val="3"/>
        <w:rPr>
          <w:i/>
        </w:rPr>
      </w:pPr>
      <w:r w:rsidRPr="00FD2D95">
        <w:rPr>
          <w:i/>
        </w:rPr>
        <w:t>the wider school context</w:t>
      </w:r>
    </w:p>
    <w:p w14:paraId="57FB8440" w14:textId="77777777" w:rsidR="00144AA7" w:rsidRPr="00FD2D95" w:rsidRDefault="003A167F" w:rsidP="00FD2D95">
      <w:pPr>
        <w:pStyle w:val="Numbered"/>
        <w:keepLines/>
        <w:numPr>
          <w:ilvl w:val="1"/>
          <w:numId w:val="14"/>
        </w:numPr>
        <w:spacing w:after="0"/>
        <w:ind w:left="567" w:hanging="567"/>
        <w:outlineLvl w:val="3"/>
        <w:rPr>
          <w:rFonts w:cs="Arial"/>
        </w:rPr>
      </w:pPr>
      <w:r w:rsidRPr="0029565F">
        <w:rPr>
          <w:rFonts w:cs="Arial"/>
        </w:rPr>
        <w:t>As part of the selection process</w:t>
      </w:r>
      <w:r w:rsidR="005664EA" w:rsidRPr="0029565F">
        <w:rPr>
          <w:rFonts w:cs="Arial"/>
        </w:rPr>
        <w:t xml:space="preserve">, the </w:t>
      </w:r>
      <w:r w:rsidR="00D01FC0">
        <w:rPr>
          <w:rFonts w:cs="Arial"/>
        </w:rPr>
        <w:t>Governing board</w:t>
      </w:r>
      <w:r w:rsidR="005664EA" w:rsidRPr="0029565F">
        <w:rPr>
          <w:rFonts w:cs="Arial"/>
        </w:rPr>
        <w:t xml:space="preserve"> </w:t>
      </w:r>
      <w:r w:rsidR="00E07CD2" w:rsidRPr="0029565F">
        <w:rPr>
          <w:rFonts w:cs="Arial"/>
        </w:rPr>
        <w:t>will determine the starting salary within that range/s to be offered to the successful candidate, giving regard to</w:t>
      </w:r>
      <w:r w:rsidRPr="0029565F">
        <w:rPr>
          <w:rFonts w:cs="Arial"/>
        </w:rPr>
        <w:t xml:space="preserve"> the relevant skills and experience of the candidate.</w:t>
      </w:r>
      <w:r w:rsidR="00E07CD2" w:rsidRPr="0029565F">
        <w:rPr>
          <w:rFonts w:cs="Arial"/>
        </w:rPr>
        <w:t xml:space="preserve"> </w:t>
      </w:r>
    </w:p>
    <w:p w14:paraId="670D7948" w14:textId="77777777" w:rsidR="00913228" w:rsidRPr="0029565F" w:rsidRDefault="00A45FF8" w:rsidP="00FD2D95">
      <w:pPr>
        <w:numPr>
          <w:ilvl w:val="0"/>
          <w:numId w:val="14"/>
        </w:numPr>
        <w:spacing w:before="240"/>
        <w:rPr>
          <w:b/>
        </w:rPr>
      </w:pPr>
      <w:r w:rsidRPr="0029565F">
        <w:rPr>
          <w:b/>
        </w:rPr>
        <w:t xml:space="preserve">Pay </w:t>
      </w:r>
      <w:r w:rsidR="005664EA" w:rsidRPr="0029565F">
        <w:rPr>
          <w:b/>
        </w:rPr>
        <w:t>p</w:t>
      </w:r>
      <w:r w:rsidRPr="0029565F">
        <w:rPr>
          <w:b/>
        </w:rPr>
        <w:t>ortability</w:t>
      </w:r>
    </w:p>
    <w:p w14:paraId="0AF2A237" w14:textId="621126AE" w:rsidR="00911311" w:rsidRDefault="00A45FF8" w:rsidP="00911311">
      <w:pPr>
        <w:pStyle w:val="Numbered"/>
        <w:keepLines/>
        <w:numPr>
          <w:ilvl w:val="1"/>
          <w:numId w:val="14"/>
        </w:numPr>
        <w:tabs>
          <w:tab w:val="num" w:pos="567"/>
        </w:tabs>
        <w:spacing w:after="0"/>
        <w:ind w:left="567" w:hanging="567"/>
        <w:outlineLvl w:val="3"/>
        <w:rPr>
          <w:rFonts w:cs="Arial"/>
        </w:rPr>
      </w:pPr>
      <w:r w:rsidRPr="00911311">
        <w:rPr>
          <w:rFonts w:cs="Arial"/>
        </w:rPr>
        <w:t xml:space="preserve">The </w:t>
      </w:r>
      <w:r w:rsidR="00D01FC0" w:rsidRPr="00911311">
        <w:rPr>
          <w:rFonts w:cs="Arial"/>
        </w:rPr>
        <w:t>Governing board</w:t>
      </w:r>
      <w:r w:rsidRPr="00911311">
        <w:rPr>
          <w:rFonts w:cs="Arial"/>
        </w:rPr>
        <w:t xml:space="preserve"> will give consideration to the principle of pay portability in making pay determinations for all new appoin</w:t>
      </w:r>
      <w:r w:rsidR="00310340" w:rsidRPr="00956378">
        <w:rPr>
          <w:rFonts w:cs="Arial"/>
        </w:rPr>
        <w:t>tments.</w:t>
      </w:r>
      <w:r w:rsidRPr="00911311">
        <w:rPr>
          <w:rFonts w:cs="Arial"/>
        </w:rPr>
        <w:t xml:space="preserve"> </w:t>
      </w:r>
    </w:p>
    <w:p w14:paraId="4705D86C" w14:textId="77777777" w:rsidR="00113C7E" w:rsidRDefault="00113C7E" w:rsidP="00113C7E">
      <w:pPr>
        <w:pStyle w:val="Numbered"/>
        <w:keepLines/>
        <w:spacing w:after="0"/>
        <w:ind w:left="567"/>
        <w:outlineLvl w:val="3"/>
        <w:rPr>
          <w:rFonts w:cs="Arial"/>
        </w:rPr>
      </w:pPr>
    </w:p>
    <w:p w14:paraId="1945D067" w14:textId="464C80B3" w:rsidR="00911311" w:rsidRDefault="001E2DA9" w:rsidP="00911311">
      <w:pPr>
        <w:pStyle w:val="Numbered"/>
        <w:keepLines/>
        <w:numPr>
          <w:ilvl w:val="1"/>
          <w:numId w:val="14"/>
        </w:numPr>
        <w:tabs>
          <w:tab w:val="num" w:pos="567"/>
        </w:tabs>
        <w:spacing w:after="0"/>
        <w:ind w:left="567" w:hanging="567"/>
        <w:outlineLvl w:val="3"/>
        <w:rPr>
          <w:rFonts w:cs="Arial"/>
        </w:rPr>
      </w:pPr>
      <w:r w:rsidRPr="00911311">
        <w:rPr>
          <w:rFonts w:cs="Arial"/>
        </w:rPr>
        <w:t xml:space="preserve">The </w:t>
      </w:r>
      <w:r w:rsidR="00D01FC0" w:rsidRPr="00911311">
        <w:rPr>
          <w:rFonts w:cs="Arial"/>
        </w:rPr>
        <w:t>Governing board</w:t>
      </w:r>
      <w:r w:rsidRPr="00911311">
        <w:rPr>
          <w:rFonts w:cs="Arial"/>
        </w:rPr>
        <w:t xml:space="preserve"> will request that the </w:t>
      </w:r>
      <w:r w:rsidR="00AB5547" w:rsidRPr="00956378">
        <w:rPr>
          <w:rFonts w:cs="Arial"/>
        </w:rPr>
        <w:t xml:space="preserve">current or </w:t>
      </w:r>
      <w:r w:rsidRPr="00911311">
        <w:rPr>
          <w:rFonts w:cs="Arial"/>
        </w:rPr>
        <w:t xml:space="preserve">predecessor school </w:t>
      </w:r>
      <w:r w:rsidR="001A3129" w:rsidRPr="00911311">
        <w:rPr>
          <w:rFonts w:cs="Arial"/>
        </w:rPr>
        <w:t>confirms</w:t>
      </w:r>
      <w:r w:rsidR="00AB5547" w:rsidRPr="00911311">
        <w:rPr>
          <w:rFonts w:cs="Arial"/>
        </w:rPr>
        <w:t xml:space="preserve"> in writing</w:t>
      </w:r>
      <w:r w:rsidR="001A3129" w:rsidRPr="00911311">
        <w:rPr>
          <w:rFonts w:cs="Arial"/>
        </w:rPr>
        <w:t xml:space="preserve"> </w:t>
      </w:r>
      <w:r w:rsidRPr="00911311">
        <w:rPr>
          <w:rFonts w:cs="Arial"/>
        </w:rPr>
        <w:t xml:space="preserve">that </w:t>
      </w:r>
      <w:r w:rsidR="001A3129" w:rsidRPr="00911311">
        <w:rPr>
          <w:rFonts w:cs="Arial"/>
        </w:rPr>
        <w:t xml:space="preserve">the teacher </w:t>
      </w:r>
      <w:r w:rsidRPr="00911311">
        <w:rPr>
          <w:rFonts w:cs="Arial"/>
        </w:rPr>
        <w:t xml:space="preserve">would have </w:t>
      </w:r>
      <w:r w:rsidR="001A3129" w:rsidRPr="00911311">
        <w:rPr>
          <w:rFonts w:cs="Arial"/>
        </w:rPr>
        <w:t>received a recommendation for pay progression</w:t>
      </w:r>
      <w:r w:rsidRPr="00911311">
        <w:rPr>
          <w:rFonts w:cs="Arial"/>
        </w:rPr>
        <w:t xml:space="preserve"> </w:t>
      </w:r>
      <w:r w:rsidR="001A3129" w:rsidRPr="00911311">
        <w:rPr>
          <w:rFonts w:cs="Arial"/>
        </w:rPr>
        <w:t xml:space="preserve">at the end of the appraisal </w:t>
      </w:r>
      <w:r w:rsidR="00D97223" w:rsidRPr="00911311">
        <w:rPr>
          <w:rFonts w:cs="Arial"/>
        </w:rPr>
        <w:t>cycle had</w:t>
      </w:r>
      <w:r w:rsidRPr="00911311">
        <w:rPr>
          <w:rFonts w:cs="Arial"/>
        </w:rPr>
        <w:t xml:space="preserve"> the teacher not </w:t>
      </w:r>
      <w:r w:rsidR="00D97223">
        <w:rPr>
          <w:rFonts w:cs="Arial"/>
        </w:rPr>
        <w:t xml:space="preserve">changed schools as part of the </w:t>
      </w:r>
      <w:r w:rsidR="001A3129" w:rsidRPr="00911311">
        <w:rPr>
          <w:rFonts w:cs="Arial"/>
        </w:rPr>
        <w:t xml:space="preserve">pre-employment checking process that </w:t>
      </w:r>
      <w:r w:rsidRPr="00911311">
        <w:rPr>
          <w:rFonts w:cs="Arial"/>
        </w:rPr>
        <w:t>is sought prior to confirming the</w:t>
      </w:r>
      <w:r w:rsidR="0078259F" w:rsidRPr="00911311">
        <w:rPr>
          <w:rFonts w:cs="Arial"/>
        </w:rPr>
        <w:t xml:space="preserve"> </w:t>
      </w:r>
      <w:r w:rsidR="001A3129" w:rsidRPr="00911311">
        <w:rPr>
          <w:rFonts w:cs="Arial"/>
        </w:rPr>
        <w:t xml:space="preserve">offer of employment and </w:t>
      </w:r>
      <w:r w:rsidR="0078259F" w:rsidRPr="00911311">
        <w:rPr>
          <w:rFonts w:cs="Arial"/>
        </w:rPr>
        <w:t>starting salary.</w:t>
      </w:r>
      <w:r w:rsidR="001A3129" w:rsidRPr="00911311">
        <w:rPr>
          <w:rFonts w:cs="Arial"/>
        </w:rPr>
        <w:t xml:space="preserve">  </w:t>
      </w:r>
    </w:p>
    <w:p w14:paraId="7FF22838" w14:textId="77777777" w:rsidR="00113C7E" w:rsidRDefault="00113C7E" w:rsidP="00113C7E">
      <w:pPr>
        <w:pStyle w:val="Numbered"/>
        <w:keepLines/>
        <w:spacing w:after="0"/>
        <w:outlineLvl w:val="3"/>
        <w:rPr>
          <w:rFonts w:cs="Arial"/>
        </w:rPr>
      </w:pPr>
    </w:p>
    <w:p w14:paraId="2658D0A4" w14:textId="77777777" w:rsidR="00A45FF8" w:rsidRPr="00911311" w:rsidRDefault="001A3129" w:rsidP="00911311">
      <w:pPr>
        <w:pStyle w:val="Numbered"/>
        <w:keepLines/>
        <w:numPr>
          <w:ilvl w:val="1"/>
          <w:numId w:val="14"/>
        </w:numPr>
        <w:tabs>
          <w:tab w:val="num" w:pos="567"/>
        </w:tabs>
        <w:spacing w:after="0"/>
        <w:ind w:left="567" w:hanging="567"/>
        <w:outlineLvl w:val="3"/>
        <w:rPr>
          <w:rFonts w:cs="Arial"/>
        </w:rPr>
      </w:pPr>
      <w:r w:rsidRPr="00911311">
        <w:rPr>
          <w:rFonts w:cs="Arial"/>
        </w:rPr>
        <w:t>The Governing board will ensure that the principles of equality of opportunity will apply in all pay determination for new entrants to the school</w:t>
      </w:r>
      <w:r w:rsidR="00AE64E2" w:rsidRPr="00956378">
        <w:rPr>
          <w:rFonts w:cs="Arial"/>
        </w:rPr>
        <w:t xml:space="preserve"> and will ensure that salary determinations are monitored to ensure that decisions in respect o</w:t>
      </w:r>
      <w:r w:rsidR="00AE64E2" w:rsidRPr="00911311">
        <w:rPr>
          <w:rFonts w:cs="Arial"/>
        </w:rPr>
        <w:t>f starting salary/pay portability are not discriminatory.</w:t>
      </w:r>
    </w:p>
    <w:p w14:paraId="3848F986" w14:textId="77777777" w:rsidR="00CD6FDF" w:rsidRPr="0029565F" w:rsidRDefault="00CD6FDF" w:rsidP="00CD6FDF">
      <w:pPr>
        <w:pStyle w:val="Heading2"/>
        <w:keepLines/>
      </w:pPr>
      <w:bookmarkStart w:id="40" w:name="_Toc54700378"/>
      <w:r w:rsidRPr="0029565F">
        <w:t>Performance pay</w:t>
      </w:r>
      <w:bookmarkEnd w:id="40"/>
    </w:p>
    <w:p w14:paraId="62994A44" w14:textId="77777777" w:rsidR="00EE5B82" w:rsidRPr="0029565F" w:rsidRDefault="005664EA" w:rsidP="00FD2D95">
      <w:pPr>
        <w:numPr>
          <w:ilvl w:val="0"/>
          <w:numId w:val="14"/>
        </w:numPr>
        <w:spacing w:before="240"/>
        <w:rPr>
          <w:b/>
        </w:rPr>
      </w:pPr>
      <w:r w:rsidRPr="0029565F">
        <w:rPr>
          <w:b/>
        </w:rPr>
        <w:t>Performance based</w:t>
      </w:r>
      <w:r w:rsidR="00CD4D46" w:rsidRPr="0029565F">
        <w:rPr>
          <w:b/>
        </w:rPr>
        <w:t xml:space="preserve"> </w:t>
      </w:r>
      <w:r w:rsidRPr="0029565F">
        <w:rPr>
          <w:b/>
        </w:rPr>
        <w:t>p</w:t>
      </w:r>
      <w:r w:rsidR="00A45FF8" w:rsidRPr="0029565F">
        <w:rPr>
          <w:b/>
        </w:rPr>
        <w:t xml:space="preserve">ay </w:t>
      </w:r>
      <w:r w:rsidRPr="0029565F">
        <w:rPr>
          <w:b/>
        </w:rPr>
        <w:t>p</w:t>
      </w:r>
      <w:r w:rsidR="00A45FF8" w:rsidRPr="0029565F">
        <w:rPr>
          <w:b/>
        </w:rPr>
        <w:t xml:space="preserve">rogression </w:t>
      </w:r>
    </w:p>
    <w:p w14:paraId="2DC30293" w14:textId="77777777" w:rsidR="00A45FF8" w:rsidRPr="0029565F" w:rsidRDefault="003A167F" w:rsidP="0020750A">
      <w:pPr>
        <w:pStyle w:val="Numbered"/>
        <w:keepLines/>
        <w:numPr>
          <w:ilvl w:val="1"/>
          <w:numId w:val="14"/>
        </w:numPr>
        <w:tabs>
          <w:tab w:val="num" w:pos="567"/>
        </w:tabs>
        <w:ind w:left="567" w:hanging="567"/>
        <w:outlineLvl w:val="3"/>
      </w:pPr>
      <w:r w:rsidRPr="0029565F">
        <w:t>A</w:t>
      </w:r>
      <w:r w:rsidR="00A45FF8" w:rsidRPr="0029565F">
        <w:t xml:space="preserve">ll teachers will receive regular, constructive feedback on their performance and are subject to </w:t>
      </w:r>
      <w:r w:rsidR="00D4342A" w:rsidRPr="0029565F">
        <w:t xml:space="preserve">an </w:t>
      </w:r>
      <w:r w:rsidR="00A45FF8" w:rsidRPr="0029565F">
        <w:t xml:space="preserve">annual appraisal that recognises their strengths, informs plans for their future development, and helps to enhance their professional practice. </w:t>
      </w:r>
    </w:p>
    <w:p w14:paraId="2D467C26" w14:textId="77777777" w:rsidR="00A45FF8" w:rsidRPr="0029565F" w:rsidRDefault="00A45FF8" w:rsidP="0020750A">
      <w:pPr>
        <w:pStyle w:val="Numbered"/>
        <w:keepLines/>
        <w:numPr>
          <w:ilvl w:val="1"/>
          <w:numId w:val="14"/>
        </w:numPr>
        <w:tabs>
          <w:tab w:val="num" w:pos="567"/>
        </w:tabs>
        <w:ind w:left="567" w:hanging="567"/>
        <w:outlineLvl w:val="3"/>
      </w:pPr>
      <w:r w:rsidRPr="0029565F">
        <w:t>The arrangements for teacher appraisal</w:t>
      </w:r>
      <w:r w:rsidR="00D4342A" w:rsidRPr="0029565F">
        <w:t>s</w:t>
      </w:r>
      <w:r w:rsidRPr="0029565F">
        <w:t xml:space="preserve"> are set out in the school’s appraisal policy. </w:t>
      </w:r>
    </w:p>
    <w:p w14:paraId="041580DF" w14:textId="77777777" w:rsidR="00650556" w:rsidRPr="0029565F" w:rsidRDefault="00BA1378" w:rsidP="0020750A">
      <w:pPr>
        <w:pStyle w:val="Numbered"/>
        <w:keepLines/>
        <w:numPr>
          <w:ilvl w:val="1"/>
          <w:numId w:val="14"/>
        </w:numPr>
        <w:tabs>
          <w:tab w:val="num" w:pos="567"/>
        </w:tabs>
        <w:ind w:left="567" w:hanging="567"/>
        <w:outlineLvl w:val="3"/>
      </w:pPr>
      <w:r w:rsidRPr="0029565F">
        <w:t xml:space="preserve">The </w:t>
      </w:r>
      <w:r w:rsidR="00D01FC0">
        <w:t>Governing board</w:t>
      </w:r>
      <w:r w:rsidRPr="0029565F">
        <w:t xml:space="preserve"> </w:t>
      </w:r>
      <w:r w:rsidR="00A45FF8" w:rsidRPr="0029565F">
        <w:t xml:space="preserve">will </w:t>
      </w:r>
      <w:r w:rsidR="00BB2069">
        <w:t xml:space="preserve">determine </w:t>
      </w:r>
      <w:r w:rsidR="00BB2069" w:rsidRPr="0029565F">
        <w:t>annually</w:t>
      </w:r>
      <w:r w:rsidR="00A45FF8" w:rsidRPr="0029565F">
        <w:t xml:space="preserve"> </w:t>
      </w:r>
      <w:r w:rsidR="00F97E85">
        <w:t>the remuneration of a teacher with effect from 1 September and in accordance with para 3.1 of Section 2 of the STPCD.</w:t>
      </w:r>
    </w:p>
    <w:p w14:paraId="47FD8DEE" w14:textId="77777777" w:rsidR="003A167F" w:rsidRPr="0029565F" w:rsidRDefault="003A167F" w:rsidP="0020750A">
      <w:pPr>
        <w:pStyle w:val="Numbered"/>
        <w:keepLines/>
        <w:numPr>
          <w:ilvl w:val="2"/>
          <w:numId w:val="14"/>
        </w:numPr>
        <w:outlineLvl w:val="3"/>
        <w:rPr>
          <w:rFonts w:eastAsia="Calibri"/>
          <w:lang w:eastAsia="en-US"/>
        </w:rPr>
      </w:pPr>
      <w:r w:rsidRPr="0029565F">
        <w:rPr>
          <w:rFonts w:eastAsia="Calibri"/>
          <w:lang w:eastAsia="en-US"/>
        </w:rPr>
        <w:t xml:space="preserve">A recommendation on pay will be made in writing as part of the teacher’s appraisal report, and the </w:t>
      </w:r>
      <w:r w:rsidR="00D01FC0">
        <w:rPr>
          <w:rFonts w:eastAsia="Calibri"/>
          <w:lang w:eastAsia="en-US"/>
        </w:rPr>
        <w:t>Governing board</w:t>
      </w:r>
      <w:r w:rsidRPr="0029565F">
        <w:rPr>
          <w:rFonts w:eastAsia="Calibri"/>
          <w:lang w:eastAsia="en-US"/>
        </w:rPr>
        <w:t xml:space="preserve"> will have regard to this in making their decision reg</w:t>
      </w:r>
      <w:r w:rsidR="00A45FF8" w:rsidRPr="0029565F">
        <w:t>arding pay progression</w:t>
      </w:r>
      <w:r w:rsidRPr="0029565F">
        <w:t xml:space="preserve">.  </w:t>
      </w:r>
      <w:r w:rsidRPr="0029565F">
        <w:rPr>
          <w:rFonts w:eastAsia="Calibri"/>
          <w:lang w:eastAsia="en-US"/>
        </w:rPr>
        <w:t xml:space="preserve">Pay decisions will be clearly attributable to the performance of the teacher in question. </w:t>
      </w:r>
    </w:p>
    <w:p w14:paraId="653AAFA9" w14:textId="77777777" w:rsidR="00650556" w:rsidRPr="00FA56CE" w:rsidRDefault="00A45FF8" w:rsidP="0020750A">
      <w:pPr>
        <w:pStyle w:val="Numbered"/>
        <w:keepLines/>
        <w:numPr>
          <w:ilvl w:val="2"/>
          <w:numId w:val="14"/>
        </w:numPr>
        <w:outlineLvl w:val="3"/>
        <w:rPr>
          <w:rFonts w:eastAsia="Calibri"/>
          <w:lang w:eastAsia="en-US"/>
        </w:rPr>
      </w:pPr>
      <w:r w:rsidRPr="00FA56CE">
        <w:t xml:space="preserve">In the case of </w:t>
      </w:r>
      <w:r w:rsidR="009E4189" w:rsidRPr="00FA56CE">
        <w:t>Newly Qualified Teachers (</w:t>
      </w:r>
      <w:r w:rsidRPr="00FA56CE">
        <w:t>NQTs</w:t>
      </w:r>
      <w:r w:rsidR="005E478F" w:rsidRPr="00FA56CE">
        <w:t>) Pay</w:t>
      </w:r>
      <w:r w:rsidRPr="00FA56CE">
        <w:t xml:space="preserve"> decisions will be </w:t>
      </w:r>
      <w:r w:rsidR="00CD4D46" w:rsidRPr="00FA56CE">
        <w:t>based on the outcome of</w:t>
      </w:r>
      <w:r w:rsidRPr="00FA56CE">
        <w:t xml:space="preserve"> the statutory induction process</w:t>
      </w:r>
      <w:r w:rsidR="003A167F" w:rsidRPr="00FA56CE">
        <w:t>.</w:t>
      </w:r>
      <w:r w:rsidRPr="00FA56CE">
        <w:t xml:space="preserve"> </w:t>
      </w:r>
      <w:r w:rsidR="009E4189" w:rsidRPr="00FA56CE">
        <w:t xml:space="preserve">  </w:t>
      </w:r>
      <w:r w:rsidR="00872F31">
        <w:t>Under normal circumstances, where an NQT has met the standards of the statutory period of induction, pay progression should be awarded.</w:t>
      </w:r>
      <w:r w:rsidR="00111B0D">
        <w:t xml:space="preserve">   Please refer to section 13 in the Supplementary Guidance for further information.</w:t>
      </w:r>
    </w:p>
    <w:p w14:paraId="1771DC2F" w14:textId="77777777" w:rsidR="00650556" w:rsidRPr="0029565F" w:rsidRDefault="00A45FF8" w:rsidP="0020750A">
      <w:pPr>
        <w:pStyle w:val="Numbered"/>
        <w:keepLines/>
        <w:numPr>
          <w:ilvl w:val="2"/>
          <w:numId w:val="14"/>
        </w:numPr>
        <w:outlineLvl w:val="3"/>
        <w:rPr>
          <w:rFonts w:eastAsia="Calibri"/>
          <w:lang w:eastAsia="en-US"/>
        </w:rPr>
      </w:pPr>
      <w:r w:rsidRPr="0029565F">
        <w:rPr>
          <w:rFonts w:eastAsia="Calibri"/>
          <w:lang w:eastAsia="en-US"/>
        </w:rPr>
        <w:t xml:space="preserve">Continued good performance as defined by the school’s pay policy </w:t>
      </w:r>
      <w:r w:rsidR="00CD4D46" w:rsidRPr="0029565F">
        <w:rPr>
          <w:rFonts w:eastAsia="Calibri"/>
          <w:lang w:eastAsia="en-US"/>
        </w:rPr>
        <w:t xml:space="preserve">means that there is an </w:t>
      </w:r>
      <w:r w:rsidRPr="0029565F">
        <w:rPr>
          <w:rFonts w:eastAsia="Calibri"/>
          <w:lang w:eastAsia="en-US"/>
        </w:rPr>
        <w:t xml:space="preserve">expectation </w:t>
      </w:r>
      <w:r w:rsidR="00CD4D46" w:rsidRPr="0029565F">
        <w:rPr>
          <w:rFonts w:eastAsia="Calibri"/>
          <w:lang w:eastAsia="en-US"/>
        </w:rPr>
        <w:t xml:space="preserve">that </w:t>
      </w:r>
      <w:r w:rsidR="005664EA" w:rsidRPr="0029565F">
        <w:rPr>
          <w:rFonts w:eastAsia="Calibri"/>
          <w:lang w:eastAsia="en-US"/>
        </w:rPr>
        <w:t xml:space="preserve">all </w:t>
      </w:r>
      <w:r w:rsidR="00CD4D46" w:rsidRPr="0029565F">
        <w:rPr>
          <w:rFonts w:eastAsia="Calibri"/>
          <w:lang w:eastAsia="en-US"/>
        </w:rPr>
        <w:t xml:space="preserve">teachers will </w:t>
      </w:r>
      <w:r w:rsidRPr="0029565F">
        <w:rPr>
          <w:rFonts w:eastAsia="Calibri"/>
          <w:lang w:eastAsia="en-US"/>
        </w:rPr>
        <w:t>progress to the top of their respective pay range</w:t>
      </w:r>
      <w:r w:rsidR="003A167F" w:rsidRPr="0029565F">
        <w:rPr>
          <w:rFonts w:eastAsia="Calibri"/>
          <w:lang w:eastAsia="en-US"/>
        </w:rPr>
        <w:t>.</w:t>
      </w:r>
      <w:r w:rsidRPr="0029565F">
        <w:rPr>
          <w:rFonts w:eastAsia="Calibri"/>
          <w:lang w:eastAsia="en-US"/>
        </w:rPr>
        <w:t xml:space="preserve"> </w:t>
      </w:r>
    </w:p>
    <w:p w14:paraId="0618BF3C" w14:textId="77777777" w:rsidR="00EE017D" w:rsidRDefault="003A6E2D" w:rsidP="007870AC">
      <w:pPr>
        <w:pStyle w:val="Numbered"/>
        <w:keepLines/>
        <w:numPr>
          <w:ilvl w:val="2"/>
          <w:numId w:val="14"/>
        </w:numPr>
        <w:outlineLvl w:val="3"/>
      </w:pPr>
      <w:r w:rsidRPr="00FA56CE">
        <w:t>During the appraisal cycle, teachers are entitled to receive</w:t>
      </w:r>
      <w:r w:rsidR="00B1402C">
        <w:t xml:space="preserve"> regular</w:t>
      </w:r>
      <w:r w:rsidRPr="00FA56CE">
        <w:t xml:space="preserve"> constructive feedback on their performance </w:t>
      </w:r>
      <w:r w:rsidR="00D97223" w:rsidRPr="00FA56CE">
        <w:t>at review</w:t>
      </w:r>
      <w:r w:rsidRPr="00FA56CE">
        <w:t xml:space="preserve"> meetings</w:t>
      </w:r>
      <w:r w:rsidR="00B1402C">
        <w:t xml:space="preserve"> during the academic year</w:t>
      </w:r>
      <w:r w:rsidR="00F5224A">
        <w:t>,</w:t>
      </w:r>
      <w:r w:rsidRPr="00FA56CE">
        <w:t xml:space="preserve"> as well as during the appraisal meeting at the </w:t>
      </w:r>
      <w:r w:rsidR="00EE017D">
        <w:t xml:space="preserve">beginning and </w:t>
      </w:r>
      <w:r w:rsidR="00AE64E2">
        <w:t xml:space="preserve">the </w:t>
      </w:r>
      <w:r w:rsidRPr="00FA56CE">
        <w:t xml:space="preserve">end of the </w:t>
      </w:r>
      <w:r w:rsidR="00EE017D">
        <w:t>appraisal cycle</w:t>
      </w:r>
      <w:r w:rsidRPr="00FA56CE">
        <w:t xml:space="preserve">. </w:t>
      </w:r>
    </w:p>
    <w:p w14:paraId="7E6D1132" w14:textId="7EBFC0DF" w:rsidR="00650556" w:rsidRPr="0029565F" w:rsidRDefault="003A6E2D" w:rsidP="007870AC">
      <w:pPr>
        <w:pStyle w:val="Numbered"/>
        <w:keepLines/>
        <w:numPr>
          <w:ilvl w:val="2"/>
          <w:numId w:val="14"/>
        </w:numPr>
        <w:outlineLvl w:val="3"/>
        <w:rPr>
          <w:rStyle w:val="CommentReference"/>
          <w:sz w:val="24"/>
          <w:szCs w:val="24"/>
        </w:rPr>
      </w:pPr>
      <w:r w:rsidRPr="00FA56CE">
        <w:t>Where a teacher is not performing well, the process to be followed is set out in the Model Appraisal Policy for Schools, Guidance for Teacher and Headteacher Appraisal and the Mod</w:t>
      </w:r>
      <w:r w:rsidR="00FD2D95">
        <w:t>el Capability Policy</w:t>
      </w:r>
      <w:r w:rsidR="00EE017D">
        <w:t xml:space="preserve"> as well as Implementing Your School’s Approach to Pay, </w:t>
      </w:r>
      <w:r w:rsidR="00F870E1">
        <w:t>March 2019</w:t>
      </w:r>
      <w:r w:rsidR="00FD2D95">
        <w:t xml:space="preserve">. </w:t>
      </w:r>
      <w:r w:rsidR="00F97E85" w:rsidRPr="00FA56CE">
        <w:t>Where a teacher is not recommended for pay progression, they will be provided with written reasons as to the outcome of the review and the reasons why pr</w:t>
      </w:r>
      <w:r w:rsidR="00FD2D95">
        <w:t xml:space="preserve">ogression was not recommended. </w:t>
      </w:r>
      <w:r w:rsidRPr="00FA56CE">
        <w:t xml:space="preserve">The recommendation for “no progression” should </w:t>
      </w:r>
      <w:r w:rsidRPr="00C9262C">
        <w:rPr>
          <w:b/>
          <w:u w:val="single"/>
        </w:rPr>
        <w:t xml:space="preserve">not come as </w:t>
      </w:r>
      <w:r w:rsidR="00111B0D">
        <w:rPr>
          <w:b/>
          <w:u w:val="single"/>
        </w:rPr>
        <w:t xml:space="preserve">a </w:t>
      </w:r>
      <w:r w:rsidRPr="00C9262C">
        <w:rPr>
          <w:b/>
          <w:u w:val="single"/>
        </w:rPr>
        <w:t>surprise</w:t>
      </w:r>
      <w:r w:rsidRPr="00FA56CE">
        <w:t xml:space="preserve"> to a tea</w:t>
      </w:r>
      <w:r w:rsidR="00FD2D95">
        <w:t xml:space="preserve">cher at the appraisal meeting. </w:t>
      </w:r>
      <w:r w:rsidRPr="00FA56CE">
        <w:t xml:space="preserve">The potential consequences of the under-performance of a teacher should be highlighted to the teacher by their line manager throughout </w:t>
      </w:r>
      <w:r w:rsidR="0078259F">
        <w:t xml:space="preserve">the </w:t>
      </w:r>
      <w:r w:rsidRPr="00FA56CE">
        <w:t>regular supervision process within the appraisal cycle of the relevant academic year.</w:t>
      </w:r>
      <w:r>
        <w:t xml:space="preserve"> </w:t>
      </w:r>
      <w:r w:rsidR="003A167F" w:rsidRPr="0029565F">
        <w:t xml:space="preserve">A ‘no progression’ determination </w:t>
      </w:r>
      <w:r w:rsidR="00F97E85">
        <w:t>can be made without recours</w:t>
      </w:r>
      <w:r w:rsidR="00FD2D95">
        <w:t xml:space="preserve">e to the capability procedure. </w:t>
      </w:r>
      <w:r w:rsidR="00A45FF8" w:rsidRPr="0029565F">
        <w:rPr>
          <w:rFonts w:eastAsia="Calibri"/>
          <w:lang w:eastAsia="en-US"/>
        </w:rPr>
        <w:t xml:space="preserve">Should a decision be made not to award progression, </w:t>
      </w:r>
      <w:r w:rsidR="00F97E85">
        <w:rPr>
          <w:rFonts w:eastAsia="Calibri"/>
          <w:lang w:eastAsia="en-US"/>
        </w:rPr>
        <w:t xml:space="preserve">a professional dialogue, </w:t>
      </w:r>
      <w:r w:rsidR="006F0C4A" w:rsidRPr="0029565F">
        <w:rPr>
          <w:rFonts w:eastAsia="Calibri"/>
          <w:lang w:eastAsia="en-US"/>
        </w:rPr>
        <w:t>support</w:t>
      </w:r>
      <w:r w:rsidR="00F97E85">
        <w:rPr>
          <w:rFonts w:eastAsia="Calibri"/>
          <w:lang w:eastAsia="en-US"/>
        </w:rPr>
        <w:t xml:space="preserve"> and training will </w:t>
      </w:r>
      <w:r w:rsidR="0078259F">
        <w:rPr>
          <w:rFonts w:eastAsia="Calibri"/>
          <w:lang w:eastAsia="en-US"/>
        </w:rPr>
        <w:t xml:space="preserve">then </w:t>
      </w:r>
      <w:r w:rsidR="00F97E85">
        <w:rPr>
          <w:rFonts w:eastAsia="Calibri"/>
          <w:lang w:eastAsia="en-US"/>
        </w:rPr>
        <w:t>be provided</w:t>
      </w:r>
      <w:r w:rsidR="006F0C4A" w:rsidRPr="0029565F">
        <w:rPr>
          <w:rFonts w:eastAsia="Calibri"/>
          <w:lang w:eastAsia="en-US"/>
        </w:rPr>
        <w:t xml:space="preserve"> </w:t>
      </w:r>
      <w:r w:rsidR="00F97E85">
        <w:rPr>
          <w:rFonts w:eastAsia="Calibri"/>
          <w:lang w:eastAsia="en-US"/>
        </w:rPr>
        <w:t>within the appraisal process</w:t>
      </w:r>
      <w:r w:rsidR="00A07F3C">
        <w:rPr>
          <w:rFonts w:eastAsia="Calibri"/>
          <w:lang w:eastAsia="en-US"/>
        </w:rPr>
        <w:t xml:space="preserve"> to</w:t>
      </w:r>
      <w:r w:rsidR="006F0C4A" w:rsidRPr="0029565F">
        <w:rPr>
          <w:rFonts w:eastAsia="Calibri"/>
          <w:lang w:eastAsia="en-US"/>
        </w:rPr>
        <w:t xml:space="preserve"> help the teacher </w:t>
      </w:r>
      <w:r w:rsidR="00A07F3C">
        <w:rPr>
          <w:rFonts w:eastAsia="Calibri"/>
          <w:lang w:eastAsia="en-US"/>
        </w:rPr>
        <w:t>to</w:t>
      </w:r>
      <w:r w:rsidR="006F0C4A" w:rsidRPr="0029565F">
        <w:rPr>
          <w:rFonts w:eastAsia="Calibri"/>
          <w:lang w:eastAsia="en-US"/>
        </w:rPr>
        <w:t xml:space="preserve"> meet the </w:t>
      </w:r>
      <w:r w:rsidR="00A07F3C">
        <w:rPr>
          <w:rFonts w:eastAsia="Calibri"/>
          <w:lang w:eastAsia="en-US"/>
        </w:rPr>
        <w:t>level of performance necessary to obtain pay progression</w:t>
      </w:r>
      <w:r w:rsidR="00FD2D95">
        <w:rPr>
          <w:rFonts w:eastAsia="Calibri"/>
          <w:lang w:eastAsia="en-US"/>
        </w:rPr>
        <w:t xml:space="preserve"> in the future. </w:t>
      </w:r>
      <w:r w:rsidR="008E09E3" w:rsidRPr="0029565F">
        <w:rPr>
          <w:rFonts w:eastAsia="Calibri"/>
          <w:lang w:eastAsia="en-US"/>
        </w:rPr>
        <w:t xml:space="preserve">Or, if appropriate, </w:t>
      </w:r>
      <w:r w:rsidR="005664EA" w:rsidRPr="0029565F">
        <w:rPr>
          <w:rFonts w:eastAsia="Calibri"/>
          <w:lang w:eastAsia="en-US"/>
        </w:rPr>
        <w:t>a period of</w:t>
      </w:r>
      <w:r w:rsidR="00F42E7B" w:rsidRPr="0029565F">
        <w:rPr>
          <w:rFonts w:eastAsia="Calibri"/>
          <w:lang w:eastAsia="en-US"/>
        </w:rPr>
        <w:t xml:space="preserve"> </w:t>
      </w:r>
      <w:r w:rsidR="00CD4D46" w:rsidRPr="0029565F">
        <w:rPr>
          <w:rFonts w:eastAsia="Calibri"/>
          <w:lang w:eastAsia="en-US"/>
        </w:rPr>
        <w:t xml:space="preserve">structured </w:t>
      </w:r>
      <w:r w:rsidR="00A45FF8" w:rsidRPr="0029565F">
        <w:rPr>
          <w:rFonts w:eastAsia="Calibri"/>
          <w:lang w:eastAsia="en-US"/>
        </w:rPr>
        <w:t xml:space="preserve">support </w:t>
      </w:r>
      <w:r w:rsidR="008E09E3" w:rsidRPr="0029565F">
        <w:rPr>
          <w:rFonts w:eastAsia="Calibri"/>
          <w:lang w:eastAsia="en-US"/>
        </w:rPr>
        <w:t>c</w:t>
      </w:r>
      <w:r w:rsidR="00A45FF8" w:rsidRPr="0029565F">
        <w:rPr>
          <w:rFonts w:eastAsia="Calibri"/>
          <w:lang w:eastAsia="en-US"/>
        </w:rPr>
        <w:t xml:space="preserve">ould be implemented </w:t>
      </w:r>
      <w:r w:rsidR="005664EA" w:rsidRPr="0029565F">
        <w:rPr>
          <w:rFonts w:eastAsia="Calibri"/>
          <w:lang w:eastAsia="en-US"/>
        </w:rPr>
        <w:t xml:space="preserve">in line with the school’s appraisal policy. </w:t>
      </w:r>
    </w:p>
    <w:p w14:paraId="17C764ED" w14:textId="683E1891" w:rsidR="00606949" w:rsidRPr="001B576D" w:rsidRDefault="00606949" w:rsidP="0020750A">
      <w:pPr>
        <w:pStyle w:val="Numbered"/>
        <w:keepLines/>
        <w:numPr>
          <w:ilvl w:val="1"/>
          <w:numId w:val="14"/>
        </w:numPr>
        <w:tabs>
          <w:tab w:val="num" w:pos="567"/>
        </w:tabs>
        <w:ind w:left="567" w:hanging="567"/>
        <w:outlineLvl w:val="3"/>
        <w:rPr>
          <w:rFonts w:cs="Arial"/>
        </w:rPr>
      </w:pPr>
      <w:r>
        <w:rPr>
          <w:rFonts w:cs="Arial"/>
        </w:rPr>
        <w:t xml:space="preserve">To be fair and transparent, assessment of performance will be based on evidence.  The evidence we will use </w:t>
      </w:r>
      <w:r w:rsidRPr="001B576D">
        <w:rPr>
          <w:rFonts w:cs="Arial"/>
        </w:rPr>
        <w:t>work scrutiny, pupil progress</w:t>
      </w:r>
      <w:r w:rsidR="001B576D">
        <w:rPr>
          <w:rFonts w:cs="Arial"/>
        </w:rPr>
        <w:t xml:space="preserve"> meeting outcomes, </w:t>
      </w:r>
      <w:proofErr w:type="spellStart"/>
      <w:r w:rsidR="001B576D">
        <w:rPr>
          <w:rFonts w:cs="Arial"/>
        </w:rPr>
        <w:t>self assessment</w:t>
      </w:r>
      <w:proofErr w:type="spellEnd"/>
      <w:r w:rsidR="001B576D">
        <w:rPr>
          <w:rFonts w:cs="Arial"/>
        </w:rPr>
        <w:t>, tracking pupil progress</w:t>
      </w:r>
      <w:r w:rsidRPr="001B576D">
        <w:rPr>
          <w:rFonts w:cs="Arial"/>
        </w:rPr>
        <w:t xml:space="preserve"> and lesson observations.</w:t>
      </w:r>
    </w:p>
    <w:p w14:paraId="76643064" w14:textId="15625AC5" w:rsidR="00650556" w:rsidRPr="001B576D" w:rsidRDefault="00650556" w:rsidP="0020750A">
      <w:pPr>
        <w:pStyle w:val="Numbered"/>
        <w:keepLines/>
        <w:numPr>
          <w:ilvl w:val="1"/>
          <w:numId w:val="14"/>
        </w:numPr>
        <w:tabs>
          <w:tab w:val="num" w:pos="567"/>
        </w:tabs>
        <w:ind w:left="567" w:hanging="567"/>
        <w:outlineLvl w:val="3"/>
        <w:rPr>
          <w:rFonts w:cs="Arial"/>
        </w:rPr>
      </w:pPr>
      <w:r w:rsidRPr="0029565F">
        <w:rPr>
          <w:rFonts w:cs="Arial"/>
        </w:rPr>
        <w:t xml:space="preserve">In this </w:t>
      </w:r>
      <w:r w:rsidR="001B576D">
        <w:rPr>
          <w:rFonts w:cs="Arial"/>
        </w:rPr>
        <w:t>Federation w</w:t>
      </w:r>
      <w:r w:rsidRPr="0029565F">
        <w:rPr>
          <w:rFonts w:cs="Arial"/>
        </w:rPr>
        <w:t xml:space="preserve">e will ensure fairness </w:t>
      </w:r>
      <w:r w:rsidRPr="001B576D">
        <w:rPr>
          <w:rFonts w:cs="Arial"/>
        </w:rPr>
        <w:t>by</w:t>
      </w:r>
      <w:r w:rsidRPr="001B576D">
        <w:rPr>
          <w:rFonts w:cs="Arial"/>
          <w:i/>
        </w:rPr>
        <w:t xml:space="preserve"> </w:t>
      </w:r>
      <w:r w:rsidR="001B576D">
        <w:rPr>
          <w:rFonts w:cs="Arial"/>
          <w:iCs/>
        </w:rPr>
        <w:t>adopting the same scrutiny procedures, lesson observation organisation, pupil progress meetings’ processes and performance management procedures across all the schools.</w:t>
      </w:r>
    </w:p>
    <w:p w14:paraId="7CA15885" w14:textId="2744D111" w:rsidR="00650556" w:rsidRPr="001B576D" w:rsidRDefault="00650556" w:rsidP="0020750A">
      <w:pPr>
        <w:pStyle w:val="Numbered"/>
        <w:keepLines/>
        <w:numPr>
          <w:ilvl w:val="1"/>
          <w:numId w:val="14"/>
        </w:numPr>
        <w:tabs>
          <w:tab w:val="num" w:pos="567"/>
        </w:tabs>
        <w:ind w:left="567" w:hanging="567"/>
        <w:outlineLvl w:val="3"/>
        <w:rPr>
          <w:rFonts w:cs="Arial"/>
        </w:rPr>
      </w:pPr>
      <w:r w:rsidRPr="0029565F">
        <w:rPr>
          <w:rFonts w:cs="Arial"/>
        </w:rPr>
        <w:t xml:space="preserve">In this </w:t>
      </w:r>
      <w:r w:rsidR="001B576D">
        <w:rPr>
          <w:rFonts w:cs="Arial"/>
        </w:rPr>
        <w:t>Federation</w:t>
      </w:r>
      <w:r w:rsidRPr="0029565F">
        <w:rPr>
          <w:rFonts w:cs="Arial"/>
        </w:rPr>
        <w:t xml:space="preserve">, judgements of performance will be made </w:t>
      </w:r>
      <w:r w:rsidRPr="001B576D">
        <w:rPr>
          <w:rFonts w:cs="Arial"/>
        </w:rPr>
        <w:t>against</w:t>
      </w:r>
      <w:r w:rsidR="001B576D">
        <w:rPr>
          <w:rFonts w:cs="Arial"/>
        </w:rPr>
        <w:t xml:space="preserve"> Teacher Standards set out in https://www.gov.uk/government/publications/teachers-standards</w:t>
      </w:r>
      <w:r w:rsidR="00A064D6">
        <w:rPr>
          <w:rFonts w:cs="Arial"/>
        </w:rPr>
        <w:t>.</w:t>
      </w:r>
      <w:r w:rsidR="001B576D" w:rsidRPr="001B576D">
        <w:rPr>
          <w:rStyle w:val="eop"/>
          <w:rFonts w:cs="Arial"/>
          <w:color w:val="000000"/>
          <w:shd w:val="clear" w:color="auto" w:fill="FFFFFF"/>
        </w:rPr>
        <w:t> </w:t>
      </w:r>
      <w:r w:rsidRPr="001B576D">
        <w:rPr>
          <w:rFonts w:cs="Arial"/>
        </w:rPr>
        <w:t xml:space="preserve"> </w:t>
      </w:r>
    </w:p>
    <w:p w14:paraId="54CDF19B" w14:textId="50ADFD88" w:rsidR="005567D5" w:rsidRPr="0029565F" w:rsidRDefault="005567D5" w:rsidP="0020750A">
      <w:pPr>
        <w:pStyle w:val="Numbered"/>
        <w:keepLines/>
        <w:numPr>
          <w:ilvl w:val="1"/>
          <w:numId w:val="14"/>
        </w:numPr>
        <w:tabs>
          <w:tab w:val="num" w:pos="567"/>
        </w:tabs>
        <w:ind w:left="567" w:hanging="567"/>
        <w:outlineLvl w:val="3"/>
        <w:rPr>
          <w:rFonts w:cs="Arial"/>
        </w:rPr>
      </w:pPr>
      <w:r>
        <w:rPr>
          <w:rFonts w:cs="Arial"/>
        </w:rPr>
        <w:t xml:space="preserve">At the end of the appraisal process, an Appraiser </w:t>
      </w:r>
      <w:r w:rsidR="007B3321">
        <w:rPr>
          <w:rFonts w:cs="Arial"/>
        </w:rPr>
        <w:t>shou</w:t>
      </w:r>
      <w:r>
        <w:rPr>
          <w:rFonts w:cs="Arial"/>
        </w:rPr>
        <w:t>l</w:t>
      </w:r>
      <w:r w:rsidR="007B3321">
        <w:rPr>
          <w:rFonts w:cs="Arial"/>
        </w:rPr>
        <w:t xml:space="preserve">d </w:t>
      </w:r>
      <w:r w:rsidR="00880431">
        <w:rPr>
          <w:rFonts w:cs="Arial"/>
        </w:rPr>
        <w:t>confirm</w:t>
      </w:r>
      <w:r w:rsidR="007B3321">
        <w:rPr>
          <w:rFonts w:cs="Arial"/>
        </w:rPr>
        <w:t xml:space="preserve"> </w:t>
      </w:r>
      <w:r w:rsidR="00880431">
        <w:rPr>
          <w:rFonts w:cs="Arial"/>
        </w:rPr>
        <w:t xml:space="preserve">their recommendation on pay determination to the </w:t>
      </w:r>
      <w:r w:rsidR="00811F34">
        <w:rPr>
          <w:rFonts w:cs="Arial"/>
        </w:rPr>
        <w:t>A</w:t>
      </w:r>
      <w:r w:rsidR="00880431">
        <w:rPr>
          <w:rFonts w:cs="Arial"/>
        </w:rPr>
        <w:t xml:space="preserve">ppraisee in writing. </w:t>
      </w:r>
      <w:r>
        <w:rPr>
          <w:rFonts w:cs="Arial"/>
        </w:rPr>
        <w:t xml:space="preserve"> For further information </w:t>
      </w:r>
      <w:r w:rsidR="002F2856">
        <w:rPr>
          <w:rFonts w:cs="Arial"/>
        </w:rPr>
        <w:t xml:space="preserve">on the process </w:t>
      </w:r>
      <w:r>
        <w:rPr>
          <w:rFonts w:cs="Arial"/>
        </w:rPr>
        <w:t xml:space="preserve">please refer to paragraph 13 of the Appraisal Policy, Pay Progression Linked to Performance.  </w:t>
      </w:r>
      <w:r w:rsidRPr="00C97737">
        <w:rPr>
          <w:rFonts w:cs="Arial"/>
          <w:b/>
        </w:rPr>
        <w:t>Appendix E</w:t>
      </w:r>
      <w:r>
        <w:rPr>
          <w:rFonts w:cs="Arial"/>
        </w:rPr>
        <w:t xml:space="preserve"> of the school’s Model Pay Policy sets out the informal approach that should be followed by the Appraiser, Appraisee and/or </w:t>
      </w:r>
      <w:r w:rsidR="00A064D6">
        <w:rPr>
          <w:rFonts w:cs="Arial"/>
        </w:rPr>
        <w:t xml:space="preserve">Executive </w:t>
      </w:r>
      <w:r>
        <w:rPr>
          <w:rFonts w:cs="Arial"/>
        </w:rPr>
        <w:t>Headteacher where there is a decision on “no progression” prior to progressing to a formal representation to the Pay Committee.</w:t>
      </w:r>
    </w:p>
    <w:p w14:paraId="7BBABAEB" w14:textId="77777777" w:rsidR="00650556" w:rsidRPr="0029565F" w:rsidRDefault="00650556" w:rsidP="0020750A">
      <w:pPr>
        <w:pStyle w:val="Numbered"/>
        <w:keepLines/>
        <w:numPr>
          <w:ilvl w:val="1"/>
          <w:numId w:val="14"/>
        </w:numPr>
        <w:tabs>
          <w:tab w:val="num" w:pos="567"/>
        </w:tabs>
        <w:ind w:left="567" w:hanging="567"/>
        <w:outlineLvl w:val="3"/>
        <w:rPr>
          <w:rFonts w:cs="Arial"/>
        </w:rPr>
      </w:pPr>
      <w:r w:rsidRPr="0029565F">
        <w:rPr>
          <w:rFonts w:cs="Arial"/>
        </w:rPr>
        <w:t xml:space="preserve">Final decisions about whether to accept a pay recommendation will be made by the </w:t>
      </w:r>
      <w:r w:rsidR="005567D5">
        <w:rPr>
          <w:rFonts w:cs="Arial"/>
        </w:rPr>
        <w:t xml:space="preserve">Pay Committee of the </w:t>
      </w:r>
      <w:r w:rsidR="00D01FC0">
        <w:rPr>
          <w:rFonts w:cs="Arial"/>
        </w:rPr>
        <w:t>Governing board</w:t>
      </w:r>
      <w:r w:rsidRPr="0029565F">
        <w:rPr>
          <w:rFonts w:cs="Arial"/>
        </w:rPr>
        <w:t>, having regard to the appraisal report and taking into account advice from the senior leadership team</w:t>
      </w:r>
      <w:r w:rsidR="008E599F" w:rsidRPr="0029565F">
        <w:rPr>
          <w:rFonts w:cs="Arial"/>
        </w:rPr>
        <w:t>.</w:t>
      </w:r>
      <w:r w:rsidRPr="0029565F">
        <w:rPr>
          <w:rFonts w:cs="Arial"/>
        </w:rPr>
        <w:t xml:space="preserve"> </w:t>
      </w:r>
      <w:r w:rsidR="00111B0D">
        <w:rPr>
          <w:rFonts w:cs="Arial"/>
        </w:rPr>
        <w:t xml:space="preserve"> </w:t>
      </w:r>
    </w:p>
    <w:p w14:paraId="45A1D3FD" w14:textId="77777777" w:rsidR="00650556" w:rsidRDefault="00650556" w:rsidP="0020750A">
      <w:pPr>
        <w:pStyle w:val="Numbered"/>
        <w:keepLines/>
        <w:numPr>
          <w:ilvl w:val="1"/>
          <w:numId w:val="14"/>
        </w:numPr>
        <w:tabs>
          <w:tab w:val="num" w:pos="567"/>
        </w:tabs>
        <w:ind w:left="567" w:hanging="567"/>
        <w:outlineLvl w:val="3"/>
        <w:rPr>
          <w:rFonts w:cs="Arial"/>
        </w:rPr>
      </w:pPr>
      <w:r w:rsidRPr="0029565F">
        <w:rPr>
          <w:rFonts w:cs="Arial"/>
        </w:rPr>
        <w:t xml:space="preserve">The </w:t>
      </w:r>
      <w:r w:rsidR="00D01FC0">
        <w:rPr>
          <w:rFonts w:cs="Arial"/>
        </w:rPr>
        <w:t>Governing board</w:t>
      </w:r>
      <w:r w:rsidRPr="0029565F">
        <w:rPr>
          <w:rFonts w:cs="Arial"/>
        </w:rPr>
        <w:t xml:space="preserve"> will ensure that appropriate funding is allocated for pay progression at all levels. </w:t>
      </w:r>
    </w:p>
    <w:p w14:paraId="6C4E6C3F" w14:textId="77777777" w:rsidR="00A07F3C" w:rsidRPr="0029565F" w:rsidRDefault="00A07F3C" w:rsidP="0020750A">
      <w:pPr>
        <w:pStyle w:val="Numbered"/>
        <w:keepLines/>
        <w:numPr>
          <w:ilvl w:val="1"/>
          <w:numId w:val="14"/>
        </w:numPr>
        <w:tabs>
          <w:tab w:val="num" w:pos="567"/>
        </w:tabs>
        <w:ind w:left="567" w:hanging="567"/>
        <w:outlineLvl w:val="3"/>
        <w:rPr>
          <w:rFonts w:cs="Arial"/>
        </w:rPr>
      </w:pPr>
      <w:r w:rsidRPr="00C97737">
        <w:rPr>
          <w:rFonts w:cs="Arial"/>
          <w:b/>
        </w:rPr>
        <w:t>Appendix E</w:t>
      </w:r>
      <w:r>
        <w:rPr>
          <w:rFonts w:cs="Arial"/>
        </w:rPr>
        <w:t xml:space="preserve"> to this policy contains detailed information regarding the appeal process for pay determination.</w:t>
      </w:r>
      <w:r w:rsidR="005102D8">
        <w:rPr>
          <w:rFonts w:cs="Arial"/>
        </w:rPr>
        <w:t xml:space="preserve">   </w:t>
      </w:r>
    </w:p>
    <w:p w14:paraId="179B96D7" w14:textId="77777777" w:rsidR="0047042E" w:rsidRDefault="00036752" w:rsidP="008B703B">
      <w:pPr>
        <w:pStyle w:val="Numbered"/>
        <w:keepLines/>
        <w:numPr>
          <w:ilvl w:val="1"/>
          <w:numId w:val="14"/>
        </w:numPr>
        <w:ind w:left="567" w:hanging="567"/>
        <w:outlineLvl w:val="3"/>
      </w:pPr>
      <w:r w:rsidRPr="0029565F">
        <w:t xml:space="preserve">Please also refer to the </w:t>
      </w:r>
      <w:r w:rsidR="005D70FF" w:rsidRPr="005D70FF">
        <w:rPr>
          <w:color w:val="0000FF"/>
        </w:rPr>
        <w:t>Supplementary guidance document</w:t>
      </w:r>
      <w:r w:rsidRPr="0029565F" w:rsidDel="000736AF">
        <w:t xml:space="preserve"> </w:t>
      </w:r>
      <w:r w:rsidRPr="0029565F">
        <w:t>for further information.</w:t>
      </w:r>
    </w:p>
    <w:p w14:paraId="46F66396" w14:textId="77777777" w:rsidR="008B703B" w:rsidRPr="0029565F" w:rsidRDefault="00CD6FDF" w:rsidP="0047042E">
      <w:pPr>
        <w:pStyle w:val="Heading2"/>
        <w:keepLines/>
      </w:pPr>
      <w:bookmarkStart w:id="41" w:name="_Toc54700379"/>
      <w:r w:rsidRPr="0029565F">
        <w:t>Main pay range for t</w:t>
      </w:r>
      <w:r w:rsidR="008B703B" w:rsidRPr="0029565F">
        <w:t>eacher</w:t>
      </w:r>
      <w:r w:rsidRPr="0029565F">
        <w:t>s</w:t>
      </w:r>
      <w:bookmarkEnd w:id="41"/>
    </w:p>
    <w:p w14:paraId="75575525" w14:textId="77777777" w:rsidR="00F12974" w:rsidRPr="0029565F" w:rsidRDefault="00F12974" w:rsidP="00113651">
      <w:pPr>
        <w:keepNext/>
        <w:keepLines/>
        <w:numPr>
          <w:ilvl w:val="0"/>
          <w:numId w:val="14"/>
        </w:numPr>
        <w:spacing w:before="120"/>
        <w:ind w:left="357" w:hanging="357"/>
        <w:rPr>
          <w:b/>
        </w:rPr>
      </w:pPr>
      <w:r w:rsidRPr="0029565F">
        <w:rPr>
          <w:b/>
        </w:rPr>
        <w:t xml:space="preserve">Main </w:t>
      </w:r>
      <w:r w:rsidR="008E599F" w:rsidRPr="0029565F">
        <w:rPr>
          <w:b/>
        </w:rPr>
        <w:t>p</w:t>
      </w:r>
      <w:r w:rsidR="006C647E" w:rsidRPr="0029565F">
        <w:rPr>
          <w:b/>
        </w:rPr>
        <w:t xml:space="preserve">ay </w:t>
      </w:r>
      <w:r w:rsidR="008E599F" w:rsidRPr="0029565F">
        <w:rPr>
          <w:b/>
        </w:rPr>
        <w:t>r</w:t>
      </w:r>
      <w:r w:rsidR="00536C9B" w:rsidRPr="0029565F">
        <w:rPr>
          <w:b/>
        </w:rPr>
        <w:t>ange</w:t>
      </w:r>
      <w:r w:rsidRPr="0029565F">
        <w:rPr>
          <w:b/>
        </w:rPr>
        <w:t xml:space="preserve"> </w:t>
      </w:r>
      <w:r w:rsidR="008E599F" w:rsidRPr="0029565F">
        <w:rPr>
          <w:b/>
        </w:rPr>
        <w:t>t</w:t>
      </w:r>
      <w:r w:rsidRPr="0029565F">
        <w:rPr>
          <w:b/>
        </w:rPr>
        <w:t>eachers</w:t>
      </w:r>
    </w:p>
    <w:p w14:paraId="326A5C9C" w14:textId="6AA1CFB7" w:rsidR="00CF0772" w:rsidRPr="0029565F" w:rsidRDefault="00CF0772" w:rsidP="00EE1551">
      <w:pPr>
        <w:pStyle w:val="Numbered"/>
        <w:keepLines/>
        <w:numPr>
          <w:ilvl w:val="1"/>
          <w:numId w:val="14"/>
        </w:numPr>
        <w:tabs>
          <w:tab w:val="num" w:pos="567"/>
        </w:tabs>
        <w:spacing w:before="120"/>
        <w:ind w:left="562" w:hanging="562"/>
        <w:outlineLvl w:val="3"/>
        <w:rPr>
          <w:rFonts w:cs="Arial"/>
        </w:rPr>
      </w:pPr>
      <w:r w:rsidRPr="0029565F">
        <w:rPr>
          <w:rFonts w:cs="Arial"/>
        </w:rPr>
        <w:t xml:space="preserve">A teacher on the main pay range will be paid such salary on the </w:t>
      </w:r>
      <w:r w:rsidR="00B168AA" w:rsidRPr="0029565F">
        <w:rPr>
          <w:rFonts w:cs="Arial"/>
        </w:rPr>
        <w:t>r</w:t>
      </w:r>
      <w:r w:rsidRPr="0029565F">
        <w:rPr>
          <w:rFonts w:cs="Arial"/>
        </w:rPr>
        <w:t xml:space="preserve">eference </w:t>
      </w:r>
      <w:r w:rsidR="00B168AA" w:rsidRPr="0029565F">
        <w:rPr>
          <w:rFonts w:cs="Arial"/>
        </w:rPr>
        <w:t>p</w:t>
      </w:r>
      <w:r w:rsidRPr="0029565F">
        <w:rPr>
          <w:rFonts w:cs="Arial"/>
        </w:rPr>
        <w:t>oints set within the minimum</w:t>
      </w:r>
      <w:r w:rsidR="006C647E" w:rsidRPr="0029565F">
        <w:rPr>
          <w:rFonts w:cs="Arial"/>
        </w:rPr>
        <w:t xml:space="preserve"> </w:t>
      </w:r>
      <w:r w:rsidRPr="0029565F">
        <w:rPr>
          <w:rFonts w:cs="Arial"/>
        </w:rPr>
        <w:t xml:space="preserve">and maximum of the main pay range below as the </w:t>
      </w:r>
      <w:r w:rsidR="00D01FC0">
        <w:rPr>
          <w:rFonts w:cs="Arial"/>
        </w:rPr>
        <w:t>Governing board</w:t>
      </w:r>
      <w:r w:rsidRPr="0029565F">
        <w:rPr>
          <w:rFonts w:cs="Arial"/>
        </w:rPr>
        <w:t xml:space="preserve"> determines</w:t>
      </w:r>
      <w:r w:rsidR="00144AA7">
        <w:rPr>
          <w:rFonts w:cs="Arial"/>
        </w:rPr>
        <w:t xml:space="preserve"> (subject to para 1.8/1.9 of this policy)</w:t>
      </w:r>
      <w:r w:rsidRPr="0029565F">
        <w:rPr>
          <w:rFonts w:cs="Arial"/>
        </w:rPr>
        <w:t>:</w:t>
      </w:r>
      <w:r w:rsidR="00B168AA" w:rsidRPr="0029565F">
        <w:rPr>
          <w:rFonts w:cs="Arial"/>
        </w:rPr>
        <w:t xml:space="preserve"> </w:t>
      </w:r>
      <w:r w:rsidR="00B168AA" w:rsidRPr="0029565F">
        <w:rPr>
          <w:rFonts w:cs="Arial"/>
          <w:b/>
        </w:rPr>
        <w:t xml:space="preserve"> </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445"/>
        <w:gridCol w:w="2157"/>
      </w:tblGrid>
      <w:tr w:rsidR="00CF0772" w:rsidRPr="0029565F" w14:paraId="16DB06B2" w14:textId="77777777" w:rsidTr="002413E9">
        <w:trPr>
          <w:jc w:val="center"/>
        </w:trPr>
        <w:tc>
          <w:tcPr>
            <w:tcW w:w="5602" w:type="dxa"/>
            <w:gridSpan w:val="2"/>
            <w:vAlign w:val="center"/>
          </w:tcPr>
          <w:p w14:paraId="356FA35D" w14:textId="24FCBF48" w:rsidR="00CF0772" w:rsidRPr="0029565F" w:rsidRDefault="00CF0772" w:rsidP="00F870E1">
            <w:pPr>
              <w:spacing w:before="60" w:after="60"/>
              <w:jc w:val="center"/>
              <w:rPr>
                <w:rFonts w:cs="Arial"/>
                <w:b/>
              </w:rPr>
            </w:pPr>
            <w:r w:rsidRPr="0029565F">
              <w:rPr>
                <w:rFonts w:cs="Arial"/>
                <w:b/>
              </w:rPr>
              <w:t>Main Pay Range for Teachers 20</w:t>
            </w:r>
            <w:r w:rsidR="0006044E">
              <w:rPr>
                <w:rFonts w:cs="Arial"/>
                <w:b/>
              </w:rPr>
              <w:t>20/21</w:t>
            </w:r>
          </w:p>
        </w:tc>
      </w:tr>
      <w:tr w:rsidR="005B7863" w:rsidRPr="0029565F" w14:paraId="6FF69F4C" w14:textId="77777777" w:rsidTr="002413E9">
        <w:trPr>
          <w:jc w:val="center"/>
        </w:trPr>
        <w:tc>
          <w:tcPr>
            <w:tcW w:w="3445" w:type="dxa"/>
          </w:tcPr>
          <w:p w14:paraId="6B9CA152" w14:textId="77777777" w:rsidR="005B7863" w:rsidRPr="0029565F" w:rsidRDefault="005B7863" w:rsidP="00EE1551">
            <w:pPr>
              <w:spacing w:before="60" w:after="60"/>
              <w:jc w:val="right"/>
              <w:rPr>
                <w:rFonts w:cs="Arial"/>
              </w:rPr>
            </w:pPr>
            <w:r w:rsidRPr="0029565F">
              <w:rPr>
                <w:rFonts w:cs="Arial"/>
                <w:b/>
              </w:rPr>
              <w:t xml:space="preserve">Minimum </w:t>
            </w:r>
            <w:r w:rsidRPr="0029565F">
              <w:rPr>
                <w:rFonts w:cs="Arial"/>
              </w:rPr>
              <w:t>Reference Point 1</w:t>
            </w:r>
          </w:p>
        </w:tc>
        <w:tc>
          <w:tcPr>
            <w:tcW w:w="2157" w:type="dxa"/>
          </w:tcPr>
          <w:p w14:paraId="72E5ABA4" w14:textId="1587E351" w:rsidR="005B7863" w:rsidRPr="0029565F" w:rsidRDefault="00144AA7" w:rsidP="00275A4B">
            <w:pPr>
              <w:spacing w:before="60" w:after="60"/>
              <w:jc w:val="center"/>
              <w:rPr>
                <w:rFonts w:cs="Arial"/>
              </w:rPr>
            </w:pPr>
            <w:r>
              <w:rPr>
                <w:rFonts w:cs="Arial"/>
              </w:rPr>
              <w:t>£</w:t>
            </w:r>
            <w:r w:rsidR="00FC3C78">
              <w:rPr>
                <w:rFonts w:cs="Arial"/>
              </w:rPr>
              <w:t>25,714</w:t>
            </w:r>
          </w:p>
        </w:tc>
      </w:tr>
      <w:tr w:rsidR="005B7863" w:rsidRPr="0029565F" w14:paraId="114ACE8D" w14:textId="77777777" w:rsidTr="002413E9">
        <w:trPr>
          <w:jc w:val="center"/>
        </w:trPr>
        <w:tc>
          <w:tcPr>
            <w:tcW w:w="3445" w:type="dxa"/>
          </w:tcPr>
          <w:p w14:paraId="634A1607" w14:textId="77777777" w:rsidR="005B7863" w:rsidRPr="0029565F" w:rsidRDefault="005B7863" w:rsidP="00EE1551">
            <w:pPr>
              <w:spacing w:before="60" w:after="60"/>
              <w:jc w:val="right"/>
              <w:rPr>
                <w:rFonts w:cs="Arial"/>
              </w:rPr>
            </w:pPr>
            <w:r w:rsidRPr="0029565F">
              <w:rPr>
                <w:rFonts w:cs="Arial"/>
              </w:rPr>
              <w:t>Reference Point 2</w:t>
            </w:r>
          </w:p>
        </w:tc>
        <w:tc>
          <w:tcPr>
            <w:tcW w:w="2157" w:type="dxa"/>
          </w:tcPr>
          <w:p w14:paraId="2C3BE848" w14:textId="19285C24" w:rsidR="005B7863" w:rsidRPr="0029565F" w:rsidRDefault="00144AA7" w:rsidP="00EE1551">
            <w:pPr>
              <w:spacing w:before="60" w:after="60"/>
              <w:jc w:val="center"/>
              <w:rPr>
                <w:rFonts w:cs="Arial"/>
              </w:rPr>
            </w:pPr>
            <w:r>
              <w:rPr>
                <w:rFonts w:cs="Arial"/>
              </w:rPr>
              <w:t>£</w:t>
            </w:r>
            <w:r w:rsidR="00FC3C78">
              <w:rPr>
                <w:rFonts w:cs="Arial"/>
              </w:rPr>
              <w:t>27,600</w:t>
            </w:r>
          </w:p>
        </w:tc>
      </w:tr>
      <w:tr w:rsidR="005B7863" w:rsidRPr="0029565F" w14:paraId="1C08EFE5" w14:textId="77777777" w:rsidTr="002413E9">
        <w:trPr>
          <w:jc w:val="center"/>
        </w:trPr>
        <w:tc>
          <w:tcPr>
            <w:tcW w:w="3445" w:type="dxa"/>
          </w:tcPr>
          <w:p w14:paraId="7DE2BA21" w14:textId="77777777" w:rsidR="005B7863" w:rsidRPr="0029565F" w:rsidRDefault="005B7863" w:rsidP="00EE1551">
            <w:pPr>
              <w:spacing w:before="60" w:after="60"/>
              <w:jc w:val="right"/>
              <w:rPr>
                <w:rFonts w:cs="Arial"/>
              </w:rPr>
            </w:pPr>
            <w:r w:rsidRPr="0029565F">
              <w:rPr>
                <w:rFonts w:cs="Arial"/>
              </w:rPr>
              <w:t>Reference Point 3</w:t>
            </w:r>
          </w:p>
        </w:tc>
        <w:tc>
          <w:tcPr>
            <w:tcW w:w="2157" w:type="dxa"/>
          </w:tcPr>
          <w:p w14:paraId="7E0B8C0E" w14:textId="3C639005" w:rsidR="005B7863" w:rsidRPr="0029565F" w:rsidRDefault="00144AA7" w:rsidP="00EE1551">
            <w:pPr>
              <w:spacing w:before="60" w:after="60"/>
              <w:jc w:val="center"/>
              <w:rPr>
                <w:rFonts w:cs="Arial"/>
              </w:rPr>
            </w:pPr>
            <w:r>
              <w:rPr>
                <w:rFonts w:cs="Arial"/>
              </w:rPr>
              <w:t>£</w:t>
            </w:r>
            <w:r w:rsidR="00FC3C78">
              <w:rPr>
                <w:rFonts w:cs="Arial"/>
              </w:rPr>
              <w:t>29,664</w:t>
            </w:r>
          </w:p>
        </w:tc>
      </w:tr>
      <w:tr w:rsidR="005B7863" w:rsidRPr="0029565F" w14:paraId="06C9B157" w14:textId="77777777" w:rsidTr="002413E9">
        <w:trPr>
          <w:jc w:val="center"/>
        </w:trPr>
        <w:tc>
          <w:tcPr>
            <w:tcW w:w="3445" w:type="dxa"/>
          </w:tcPr>
          <w:p w14:paraId="1DE7F2F2" w14:textId="77777777" w:rsidR="005B7863" w:rsidRPr="0029565F" w:rsidRDefault="005B7863" w:rsidP="00EE1551">
            <w:pPr>
              <w:spacing w:before="60" w:after="60"/>
              <w:jc w:val="right"/>
              <w:rPr>
                <w:rFonts w:cs="Arial"/>
              </w:rPr>
            </w:pPr>
            <w:r w:rsidRPr="0029565F">
              <w:rPr>
                <w:rFonts w:cs="Arial"/>
              </w:rPr>
              <w:t>Reference Point 4</w:t>
            </w:r>
          </w:p>
        </w:tc>
        <w:tc>
          <w:tcPr>
            <w:tcW w:w="2157" w:type="dxa"/>
          </w:tcPr>
          <w:p w14:paraId="665FDDB7" w14:textId="5298D978" w:rsidR="005B7863" w:rsidRPr="0029565F" w:rsidRDefault="00144AA7" w:rsidP="00F00941">
            <w:pPr>
              <w:spacing w:before="60" w:after="60"/>
              <w:jc w:val="center"/>
              <w:rPr>
                <w:rFonts w:cs="Arial"/>
              </w:rPr>
            </w:pPr>
            <w:r>
              <w:rPr>
                <w:rFonts w:cs="Arial"/>
              </w:rPr>
              <w:t>£</w:t>
            </w:r>
            <w:r w:rsidR="00FC3C78">
              <w:rPr>
                <w:rFonts w:cs="Arial"/>
              </w:rPr>
              <w:t>31,778</w:t>
            </w:r>
          </w:p>
        </w:tc>
      </w:tr>
      <w:tr w:rsidR="005B7863" w:rsidRPr="0029565F" w14:paraId="42015443" w14:textId="77777777" w:rsidTr="002413E9">
        <w:trPr>
          <w:jc w:val="center"/>
        </w:trPr>
        <w:tc>
          <w:tcPr>
            <w:tcW w:w="3445" w:type="dxa"/>
          </w:tcPr>
          <w:p w14:paraId="02A513C0" w14:textId="77777777" w:rsidR="005B7863" w:rsidRPr="0029565F" w:rsidRDefault="005B7863" w:rsidP="00EE1551">
            <w:pPr>
              <w:spacing w:before="60" w:after="60"/>
              <w:jc w:val="right"/>
              <w:rPr>
                <w:rFonts w:cs="Arial"/>
              </w:rPr>
            </w:pPr>
            <w:r w:rsidRPr="0029565F">
              <w:rPr>
                <w:rFonts w:cs="Arial"/>
              </w:rPr>
              <w:t>Reference Point 5</w:t>
            </w:r>
          </w:p>
        </w:tc>
        <w:tc>
          <w:tcPr>
            <w:tcW w:w="2157" w:type="dxa"/>
          </w:tcPr>
          <w:p w14:paraId="11F3689F" w14:textId="4CDBBFA3" w:rsidR="005B7863" w:rsidRPr="0029565F" w:rsidRDefault="00144AA7" w:rsidP="00EE1551">
            <w:pPr>
              <w:spacing w:before="60" w:after="60"/>
              <w:jc w:val="center"/>
              <w:rPr>
                <w:rFonts w:cs="Arial"/>
              </w:rPr>
            </w:pPr>
            <w:r>
              <w:rPr>
                <w:rFonts w:cs="Arial"/>
              </w:rPr>
              <w:t>£</w:t>
            </w:r>
            <w:r w:rsidR="00FC3C78">
              <w:rPr>
                <w:rFonts w:cs="Arial"/>
              </w:rPr>
              <w:t>34,100</w:t>
            </w:r>
          </w:p>
        </w:tc>
      </w:tr>
      <w:tr w:rsidR="005B7863" w:rsidRPr="0029565F" w14:paraId="6CCC69CF" w14:textId="77777777" w:rsidTr="002413E9">
        <w:trPr>
          <w:jc w:val="center"/>
        </w:trPr>
        <w:tc>
          <w:tcPr>
            <w:tcW w:w="3445" w:type="dxa"/>
          </w:tcPr>
          <w:p w14:paraId="480A572C" w14:textId="77777777" w:rsidR="005B7863" w:rsidRPr="0029565F" w:rsidRDefault="005B7863" w:rsidP="00EE1551">
            <w:pPr>
              <w:spacing w:before="60" w:after="60"/>
              <w:jc w:val="right"/>
              <w:rPr>
                <w:rFonts w:cs="Arial"/>
              </w:rPr>
            </w:pPr>
            <w:r w:rsidRPr="0029565F">
              <w:rPr>
                <w:rFonts w:cs="Arial"/>
                <w:b/>
              </w:rPr>
              <w:t xml:space="preserve">Maximum </w:t>
            </w:r>
            <w:r w:rsidRPr="0029565F">
              <w:rPr>
                <w:rFonts w:cs="Arial"/>
              </w:rPr>
              <w:t>Reference Point 6</w:t>
            </w:r>
          </w:p>
        </w:tc>
        <w:tc>
          <w:tcPr>
            <w:tcW w:w="2157" w:type="dxa"/>
          </w:tcPr>
          <w:p w14:paraId="4FBEFBBD" w14:textId="16C96016" w:rsidR="005B7863" w:rsidRPr="0029565F" w:rsidRDefault="00144AA7" w:rsidP="00F95B91">
            <w:pPr>
              <w:spacing w:before="60" w:after="60"/>
              <w:jc w:val="center"/>
              <w:rPr>
                <w:rFonts w:cs="Arial"/>
              </w:rPr>
            </w:pPr>
            <w:r>
              <w:rPr>
                <w:rFonts w:cs="Arial"/>
              </w:rPr>
              <w:t>£</w:t>
            </w:r>
            <w:r w:rsidR="00FC3C78">
              <w:rPr>
                <w:rFonts w:cs="Arial"/>
              </w:rPr>
              <w:t>36,961</w:t>
            </w:r>
          </w:p>
        </w:tc>
      </w:tr>
    </w:tbl>
    <w:p w14:paraId="79041678" w14:textId="77777777" w:rsidR="0020750A" w:rsidRPr="0029565F" w:rsidRDefault="00F938AD" w:rsidP="00EE1551">
      <w:pPr>
        <w:pStyle w:val="Numbered"/>
        <w:keepLines/>
        <w:numPr>
          <w:ilvl w:val="1"/>
          <w:numId w:val="14"/>
        </w:numPr>
        <w:tabs>
          <w:tab w:val="num" w:pos="567"/>
        </w:tabs>
        <w:spacing w:before="120"/>
        <w:ind w:left="562" w:hanging="562"/>
        <w:outlineLvl w:val="3"/>
        <w:rPr>
          <w:rFonts w:cs="Arial"/>
        </w:rPr>
      </w:pPr>
      <w:r>
        <w:rPr>
          <w:rFonts w:cs="Arial"/>
        </w:rPr>
        <w:t>A</w:t>
      </w:r>
      <w:r w:rsidR="00CF0772" w:rsidRPr="0029565F">
        <w:rPr>
          <w:rFonts w:cs="Arial"/>
        </w:rPr>
        <w:t>s a teacher</w:t>
      </w:r>
      <w:r>
        <w:rPr>
          <w:rFonts w:cs="Arial"/>
        </w:rPr>
        <w:t xml:space="preserve"> </w:t>
      </w:r>
      <w:r w:rsidR="00CF0772" w:rsidRPr="0029565F">
        <w:rPr>
          <w:rFonts w:cs="Arial"/>
        </w:rPr>
        <w:t xml:space="preserve">progresses up the main pay range </w:t>
      </w:r>
      <w:r>
        <w:rPr>
          <w:rFonts w:cs="Arial"/>
        </w:rPr>
        <w:t xml:space="preserve">there will be an expectation </w:t>
      </w:r>
      <w:r w:rsidR="00D97223">
        <w:rPr>
          <w:rFonts w:cs="Arial"/>
        </w:rPr>
        <w:t>that increasingly</w:t>
      </w:r>
      <w:r w:rsidR="00AE64E2">
        <w:rPr>
          <w:rFonts w:cs="Arial"/>
        </w:rPr>
        <w:t xml:space="preserve"> challenging but realistic </w:t>
      </w:r>
      <w:r w:rsidR="00191EBD" w:rsidRPr="0029565F">
        <w:rPr>
          <w:rFonts w:cs="Arial"/>
        </w:rPr>
        <w:t>appraisal</w:t>
      </w:r>
      <w:r w:rsidR="00CF0772" w:rsidRPr="0029565F">
        <w:rPr>
          <w:rFonts w:cs="Arial"/>
        </w:rPr>
        <w:t xml:space="preserve"> objectives will be</w:t>
      </w:r>
      <w:r>
        <w:rPr>
          <w:rFonts w:cs="Arial"/>
        </w:rPr>
        <w:t xml:space="preserve"> set at </w:t>
      </w:r>
      <w:r w:rsidR="00AB5547">
        <w:rPr>
          <w:rFonts w:cs="Arial"/>
        </w:rPr>
        <w:t>an appropriate</w:t>
      </w:r>
      <w:r>
        <w:rPr>
          <w:rFonts w:cs="Arial"/>
        </w:rPr>
        <w:t xml:space="preserve"> level to reflect the experience and ability of the teacher using the principles of SMART target setting (specific, measurable, achievable, realistic and timely).</w:t>
      </w:r>
    </w:p>
    <w:p w14:paraId="2CDEE591" w14:textId="70A936C2" w:rsidR="00AB5547" w:rsidRDefault="00EE5EE6" w:rsidP="00EE1551">
      <w:pPr>
        <w:pStyle w:val="Numbered"/>
        <w:keepLines/>
        <w:numPr>
          <w:ilvl w:val="1"/>
          <w:numId w:val="14"/>
        </w:numPr>
        <w:tabs>
          <w:tab w:val="num" w:pos="567"/>
        </w:tabs>
        <w:spacing w:before="120"/>
        <w:ind w:left="562" w:hanging="562"/>
        <w:outlineLvl w:val="3"/>
        <w:rPr>
          <w:rFonts w:cs="Arial"/>
        </w:rPr>
      </w:pPr>
      <w:r>
        <w:rPr>
          <w:rFonts w:cs="Arial"/>
        </w:rPr>
        <w:t>The rate of pay progression will be differentiated according to an individual teacher’s performance</w:t>
      </w:r>
      <w:r w:rsidR="00D97223">
        <w:rPr>
          <w:rFonts w:cs="Arial"/>
        </w:rPr>
        <w:t>.</w:t>
      </w:r>
      <w:r>
        <w:rPr>
          <w:rFonts w:cs="Arial"/>
        </w:rPr>
        <w:t xml:space="preserve"> </w:t>
      </w:r>
      <w:r w:rsidR="0096466D">
        <w:rPr>
          <w:rFonts w:cs="Arial"/>
        </w:rPr>
        <w:t xml:space="preserve">The expected level of performance will be set out at the beginning of the appraisal process.  </w:t>
      </w:r>
      <w:r w:rsidR="00CF0772" w:rsidRPr="0029565F">
        <w:rPr>
          <w:rFonts w:cs="Arial"/>
        </w:rPr>
        <w:t xml:space="preserve">In </w:t>
      </w:r>
      <w:r w:rsidR="00F938AD">
        <w:rPr>
          <w:rFonts w:cs="Arial"/>
        </w:rPr>
        <w:t xml:space="preserve">this school judgements of performance will be made against the extent to which a teacher has met their individual objectives and the relevant teaching standards.  </w:t>
      </w:r>
      <w:r>
        <w:rPr>
          <w:rFonts w:cs="Arial"/>
        </w:rPr>
        <w:t>A teacher will be eligible for pay progression if their performance has</w:t>
      </w:r>
      <w:r w:rsidR="00D97223">
        <w:rPr>
          <w:rFonts w:cs="Arial"/>
        </w:rPr>
        <w:t xml:space="preserve"> been assessed as “good”</w:t>
      </w:r>
      <w:r w:rsidR="00F938AD">
        <w:rPr>
          <w:rFonts w:cs="Arial"/>
        </w:rPr>
        <w:t xml:space="preserve"> and will be </w:t>
      </w:r>
      <w:r>
        <w:rPr>
          <w:rFonts w:cs="Arial"/>
        </w:rPr>
        <w:t xml:space="preserve">made in accordance with the following performance measures.  </w:t>
      </w:r>
    </w:p>
    <w:p w14:paraId="1633B155" w14:textId="77777777" w:rsidR="00A064D6" w:rsidRPr="008612FB" w:rsidRDefault="00A064D6" w:rsidP="00606949">
      <w:pPr>
        <w:pStyle w:val="Numbered"/>
        <w:keepLines/>
        <w:numPr>
          <w:ilvl w:val="0"/>
          <w:numId w:val="32"/>
        </w:numPr>
        <w:spacing w:before="120"/>
        <w:outlineLvl w:val="3"/>
        <w:rPr>
          <w:rFonts w:cs="Arial"/>
          <w:bCs/>
          <w:iCs/>
        </w:rPr>
      </w:pPr>
      <w:r w:rsidRPr="008612FB">
        <w:rPr>
          <w:rFonts w:cs="Arial"/>
          <w:bCs/>
          <w:iCs/>
        </w:rPr>
        <w:t>Clear demonstration of whole school impact on standards and the life of the school</w:t>
      </w:r>
    </w:p>
    <w:p w14:paraId="41413C70" w14:textId="43AFA85C" w:rsidR="00A064D6" w:rsidRPr="008612FB" w:rsidRDefault="00A064D6" w:rsidP="00606949">
      <w:pPr>
        <w:pStyle w:val="Numbered"/>
        <w:keepLines/>
        <w:numPr>
          <w:ilvl w:val="0"/>
          <w:numId w:val="32"/>
        </w:numPr>
        <w:spacing w:before="120"/>
        <w:outlineLvl w:val="3"/>
        <w:rPr>
          <w:rFonts w:cs="Arial"/>
          <w:bCs/>
          <w:iCs/>
        </w:rPr>
      </w:pPr>
      <w:r w:rsidRPr="008612FB">
        <w:rPr>
          <w:rFonts w:cs="Arial"/>
          <w:bCs/>
          <w:iCs/>
        </w:rPr>
        <w:t>Clear demonstration of at least good and increasingly outstanding lesson observation</w:t>
      </w:r>
    </w:p>
    <w:p w14:paraId="3ADFF72E" w14:textId="77777777" w:rsidR="00A064D6" w:rsidRPr="008612FB" w:rsidRDefault="00A064D6" w:rsidP="00606949">
      <w:pPr>
        <w:pStyle w:val="Numbered"/>
        <w:keepLines/>
        <w:numPr>
          <w:ilvl w:val="0"/>
          <w:numId w:val="32"/>
        </w:numPr>
        <w:spacing w:before="120"/>
        <w:outlineLvl w:val="3"/>
        <w:rPr>
          <w:rFonts w:cs="Arial"/>
          <w:bCs/>
          <w:iCs/>
        </w:rPr>
      </w:pPr>
      <w:r w:rsidRPr="008612FB">
        <w:rPr>
          <w:rFonts w:cs="Arial"/>
          <w:bCs/>
          <w:iCs/>
        </w:rPr>
        <w:t>Clear evidence of all/the majority of children within the class making at least good progress</w:t>
      </w:r>
    </w:p>
    <w:p w14:paraId="7E19BBC5" w14:textId="4B7ADE51" w:rsidR="00CF0772" w:rsidRPr="008612FB" w:rsidRDefault="00A064D6" w:rsidP="00606949">
      <w:pPr>
        <w:pStyle w:val="Numbered"/>
        <w:keepLines/>
        <w:numPr>
          <w:ilvl w:val="0"/>
          <w:numId w:val="32"/>
        </w:numPr>
        <w:spacing w:before="120"/>
        <w:outlineLvl w:val="3"/>
        <w:rPr>
          <w:rFonts w:cs="Arial"/>
          <w:bCs/>
          <w:iCs/>
        </w:rPr>
      </w:pPr>
      <w:r w:rsidRPr="008612FB">
        <w:rPr>
          <w:rFonts w:cs="Arial"/>
          <w:bCs/>
          <w:iCs/>
        </w:rPr>
        <w:t>Clear evidence through scrutiny of at least good and increasingly outstanding teacher practices (planning, marking, presentation in books)</w:t>
      </w:r>
      <w:r w:rsidR="00EE5EE6" w:rsidRPr="008612FB">
        <w:rPr>
          <w:rFonts w:cs="Arial"/>
          <w:bCs/>
          <w:iCs/>
        </w:rPr>
        <w:t>.</w:t>
      </w:r>
    </w:p>
    <w:p w14:paraId="00B93EB6" w14:textId="6E7F3B2E" w:rsidR="001550F4" w:rsidRDefault="00CF0772" w:rsidP="001550F4">
      <w:pPr>
        <w:pStyle w:val="paragraph"/>
        <w:numPr>
          <w:ilvl w:val="1"/>
          <w:numId w:val="42"/>
        </w:numPr>
        <w:spacing w:before="0" w:beforeAutospacing="0" w:after="0" w:afterAutospacing="0"/>
        <w:textAlignment w:val="baseline"/>
        <w:rPr>
          <w:rFonts w:ascii="Arial" w:hAnsi="Arial" w:cs="Arial"/>
        </w:rPr>
      </w:pPr>
      <w:r w:rsidRPr="007F0385">
        <w:rPr>
          <w:rFonts w:ascii="Arial" w:hAnsi="Arial" w:cs="Arial"/>
        </w:rPr>
        <w:t xml:space="preserve">If the evidence collated shows that a teacher has excelled over the duration of the academic year being assessed, the </w:t>
      </w:r>
      <w:r w:rsidR="00D01FC0" w:rsidRPr="007F0385">
        <w:rPr>
          <w:rFonts w:ascii="Arial" w:hAnsi="Arial" w:cs="Arial"/>
        </w:rPr>
        <w:t>Governing board</w:t>
      </w:r>
      <w:r w:rsidRPr="007F0385">
        <w:rPr>
          <w:rFonts w:ascii="Arial" w:hAnsi="Arial" w:cs="Arial"/>
        </w:rPr>
        <w:t xml:space="preserve"> will consider awarding enhanced pay progression. </w:t>
      </w:r>
      <w:r w:rsidR="001550F4">
        <w:rPr>
          <w:rStyle w:val="normaltextrun"/>
          <w:rFonts w:ascii="Arial" w:hAnsi="Arial" w:cs="Arial"/>
        </w:rPr>
        <w:t>In such cases teaching and learning should be consistently </w:t>
      </w:r>
      <w:r w:rsidR="001550F4">
        <w:rPr>
          <w:rStyle w:val="normaltextrun"/>
          <w:rFonts w:ascii="Arial" w:hAnsi="Arial" w:cs="Arial"/>
          <w:b/>
          <w:bCs/>
        </w:rPr>
        <w:t>outstanding or exceptional</w:t>
      </w:r>
      <w:r w:rsidR="001550F4">
        <w:rPr>
          <w:rStyle w:val="normaltextrun"/>
          <w:rFonts w:ascii="Arial" w:hAnsi="Arial" w:cs="Arial"/>
        </w:rPr>
        <w:t> which in this Federation is considered to be: </w:t>
      </w:r>
      <w:r w:rsidR="001550F4">
        <w:rPr>
          <w:rStyle w:val="eop"/>
          <w:rFonts w:ascii="Arial" w:hAnsi="Arial" w:cs="Arial"/>
        </w:rPr>
        <w:t> </w:t>
      </w:r>
    </w:p>
    <w:p w14:paraId="5DA78583" w14:textId="77777777" w:rsidR="001550F4" w:rsidRPr="001550F4" w:rsidRDefault="001550F4" w:rsidP="001550F4">
      <w:pPr>
        <w:pStyle w:val="paragraph"/>
        <w:numPr>
          <w:ilvl w:val="0"/>
          <w:numId w:val="40"/>
        </w:numPr>
        <w:spacing w:before="0" w:beforeAutospacing="0" w:after="0" w:afterAutospacing="0"/>
        <w:ind w:left="1635" w:firstLine="0"/>
        <w:textAlignment w:val="baseline"/>
        <w:rPr>
          <w:rFonts w:ascii="Arial" w:hAnsi="Arial" w:cs="Arial"/>
        </w:rPr>
      </w:pPr>
      <w:r w:rsidRPr="001550F4">
        <w:rPr>
          <w:rStyle w:val="normaltextrun"/>
          <w:rFonts w:ascii="Arial" w:hAnsi="Arial" w:cs="Arial"/>
        </w:rPr>
        <w:t>A clear demonstration of a significant whole school impact on standards and the life of the school.</w:t>
      </w:r>
      <w:r w:rsidRPr="001550F4">
        <w:rPr>
          <w:rStyle w:val="eop"/>
          <w:rFonts w:ascii="Arial" w:hAnsi="Arial" w:cs="Arial"/>
        </w:rPr>
        <w:t> </w:t>
      </w:r>
    </w:p>
    <w:p w14:paraId="7EB9D1AC" w14:textId="77777777" w:rsidR="001550F4" w:rsidRPr="001550F4" w:rsidRDefault="001550F4" w:rsidP="001550F4">
      <w:pPr>
        <w:pStyle w:val="paragraph"/>
        <w:numPr>
          <w:ilvl w:val="0"/>
          <w:numId w:val="40"/>
        </w:numPr>
        <w:spacing w:before="0" w:beforeAutospacing="0" w:after="0" w:afterAutospacing="0"/>
        <w:ind w:left="1635" w:firstLine="0"/>
        <w:textAlignment w:val="baseline"/>
        <w:rPr>
          <w:rFonts w:ascii="Arial" w:hAnsi="Arial" w:cs="Arial"/>
        </w:rPr>
      </w:pPr>
      <w:r w:rsidRPr="001550F4">
        <w:rPr>
          <w:rStyle w:val="normaltextrun"/>
          <w:rFonts w:ascii="Arial" w:hAnsi="Arial" w:cs="Arial"/>
        </w:rPr>
        <w:t>A clear demonstration of outstanding lesson observations.</w:t>
      </w:r>
      <w:r w:rsidRPr="001550F4">
        <w:rPr>
          <w:rStyle w:val="eop"/>
          <w:rFonts w:ascii="Arial" w:hAnsi="Arial" w:cs="Arial"/>
        </w:rPr>
        <w:t> </w:t>
      </w:r>
    </w:p>
    <w:p w14:paraId="39ADAC0B" w14:textId="77777777" w:rsidR="001550F4" w:rsidRPr="001550F4" w:rsidRDefault="001550F4" w:rsidP="001550F4">
      <w:pPr>
        <w:pStyle w:val="paragraph"/>
        <w:numPr>
          <w:ilvl w:val="0"/>
          <w:numId w:val="40"/>
        </w:numPr>
        <w:spacing w:before="0" w:beforeAutospacing="0" w:after="0" w:afterAutospacing="0"/>
        <w:ind w:left="1635" w:firstLine="0"/>
        <w:textAlignment w:val="baseline"/>
        <w:rPr>
          <w:rFonts w:ascii="Arial" w:hAnsi="Arial" w:cs="Arial"/>
        </w:rPr>
      </w:pPr>
      <w:r w:rsidRPr="001550F4">
        <w:rPr>
          <w:rStyle w:val="normaltextrun"/>
          <w:rFonts w:ascii="Arial" w:hAnsi="Arial" w:cs="Arial"/>
        </w:rPr>
        <w:t>Clear evidence of all the children within the class making at least good progress and a significant proportion making accelerated progress.</w:t>
      </w:r>
      <w:r w:rsidRPr="001550F4">
        <w:rPr>
          <w:rStyle w:val="eop"/>
          <w:rFonts w:ascii="Arial" w:hAnsi="Arial" w:cs="Arial"/>
        </w:rPr>
        <w:t> </w:t>
      </w:r>
    </w:p>
    <w:p w14:paraId="56AE05E0" w14:textId="77777777" w:rsidR="001550F4" w:rsidRPr="001550F4" w:rsidRDefault="001550F4" w:rsidP="001550F4">
      <w:pPr>
        <w:pStyle w:val="paragraph"/>
        <w:numPr>
          <w:ilvl w:val="0"/>
          <w:numId w:val="41"/>
        </w:numPr>
        <w:spacing w:before="0" w:beforeAutospacing="0" w:after="0" w:afterAutospacing="0"/>
        <w:ind w:left="1635" w:firstLine="0"/>
        <w:textAlignment w:val="baseline"/>
        <w:rPr>
          <w:rFonts w:ascii="Arial" w:hAnsi="Arial" w:cs="Arial"/>
        </w:rPr>
      </w:pPr>
      <w:r w:rsidRPr="001550F4">
        <w:rPr>
          <w:rStyle w:val="normaltextrun"/>
          <w:rFonts w:ascii="Arial" w:hAnsi="Arial" w:cs="Arial"/>
        </w:rPr>
        <w:t>Clear evidence through scrutiny of outstanding teacher practices (planning, marking, presentation in books).</w:t>
      </w:r>
      <w:r w:rsidRPr="001550F4">
        <w:rPr>
          <w:rStyle w:val="eop"/>
          <w:rFonts w:ascii="Arial" w:hAnsi="Arial" w:cs="Arial"/>
        </w:rPr>
        <w:t> </w:t>
      </w:r>
    </w:p>
    <w:p w14:paraId="509D4FBA" w14:textId="191C44DC" w:rsidR="00EE5EE6" w:rsidRPr="001550F4" w:rsidRDefault="00EE5EE6" w:rsidP="001550F4">
      <w:pPr>
        <w:rPr>
          <w:rFonts w:cs="Arial"/>
          <w:b/>
        </w:rPr>
      </w:pPr>
    </w:p>
    <w:p w14:paraId="3E087CD2" w14:textId="758BA76A" w:rsidR="00E21A83" w:rsidRPr="00E21A83" w:rsidRDefault="00E21A83" w:rsidP="00E21A83">
      <w:pPr>
        <w:pStyle w:val="Numbered"/>
        <w:keepLines/>
        <w:numPr>
          <w:ilvl w:val="1"/>
          <w:numId w:val="14"/>
        </w:numPr>
        <w:spacing w:before="120"/>
        <w:ind w:left="562" w:hanging="562"/>
        <w:outlineLvl w:val="3"/>
        <w:rPr>
          <w:rFonts w:cs="Arial"/>
        </w:rPr>
      </w:pPr>
      <w:r>
        <w:rPr>
          <w:rFonts w:cs="Arial"/>
        </w:rPr>
        <w:t>There is however no obligation to increase an individual’s pay unless it is warranted by performance.  For</w:t>
      </w:r>
      <w:r w:rsidR="001C45E3">
        <w:rPr>
          <w:rFonts w:cs="Arial"/>
        </w:rPr>
        <w:t xml:space="preserve"> </w:t>
      </w:r>
      <w:r w:rsidR="00C97737">
        <w:rPr>
          <w:rFonts w:cs="Arial"/>
        </w:rPr>
        <w:t>instance,</w:t>
      </w:r>
      <w:r>
        <w:rPr>
          <w:rFonts w:cs="Arial"/>
        </w:rPr>
        <w:t xml:space="preserve"> a teacher may be performing satisfactorily, meeting most of their objectives (but not all) and with much of their teaching (but not all) assessed as good.  In such circumstances this school may consider that such a level of performance will result in a “no pay progression” determination following the conclusion of the appraisal cycle.  This determination should not come as a surprise to a teacher as this school ensures that regular </w:t>
      </w:r>
      <w:r w:rsidR="003F740C">
        <w:rPr>
          <w:rFonts w:cs="Arial"/>
        </w:rPr>
        <w:t xml:space="preserve">constructive </w:t>
      </w:r>
      <w:r>
        <w:rPr>
          <w:rFonts w:cs="Arial"/>
        </w:rPr>
        <w:t>feedback is provided to all teachers on their performance</w:t>
      </w:r>
      <w:r w:rsidR="003F740C">
        <w:rPr>
          <w:rFonts w:cs="Arial"/>
        </w:rPr>
        <w:t xml:space="preserve"> throughout the year</w:t>
      </w:r>
      <w:r>
        <w:rPr>
          <w:rFonts w:cs="Arial"/>
        </w:rPr>
        <w:t>.</w:t>
      </w:r>
    </w:p>
    <w:p w14:paraId="080EC660" w14:textId="358ED35A" w:rsidR="004A1EAC" w:rsidRPr="00BB6EBF" w:rsidRDefault="00336C4A" w:rsidP="00BB6EBF">
      <w:pPr>
        <w:pStyle w:val="Numbered"/>
        <w:keepLines/>
        <w:numPr>
          <w:ilvl w:val="1"/>
          <w:numId w:val="14"/>
        </w:numPr>
        <w:spacing w:before="120"/>
        <w:ind w:left="562" w:hanging="562"/>
        <w:outlineLvl w:val="3"/>
        <w:rPr>
          <w:rFonts w:cs="Arial"/>
        </w:rPr>
      </w:pPr>
      <w:r w:rsidRPr="00BB6EBF">
        <w:rPr>
          <w:rFonts w:cs="Arial"/>
        </w:rPr>
        <w:t>The nominal reference point</w:t>
      </w:r>
      <w:r w:rsidR="00E82688" w:rsidRPr="00BB6EBF">
        <w:rPr>
          <w:rFonts w:cs="Arial"/>
        </w:rPr>
        <w:t>s</w:t>
      </w:r>
      <w:r w:rsidRPr="00BB6EBF">
        <w:rPr>
          <w:rFonts w:cs="Arial"/>
        </w:rPr>
        <w:t xml:space="preserve"> 6 </w:t>
      </w:r>
      <w:r w:rsidR="00BB6EBF">
        <w:rPr>
          <w:rFonts w:cs="Arial"/>
        </w:rPr>
        <w:t>(</w:t>
      </w:r>
      <w:r w:rsidR="00E82688" w:rsidRPr="00BB6EBF">
        <w:rPr>
          <w:rFonts w:cs="Arial"/>
        </w:rPr>
        <w:t>a</w:t>
      </w:r>
      <w:r w:rsidR="00BB6EBF">
        <w:rPr>
          <w:rFonts w:cs="Arial"/>
        </w:rPr>
        <w:t>)</w:t>
      </w:r>
      <w:r w:rsidR="00E82688" w:rsidRPr="00BB6EBF">
        <w:rPr>
          <w:rFonts w:cs="Arial"/>
        </w:rPr>
        <w:t xml:space="preserve"> and </w:t>
      </w:r>
      <w:r w:rsidR="00BB6EBF">
        <w:rPr>
          <w:rFonts w:cs="Arial"/>
        </w:rPr>
        <w:t>(</w:t>
      </w:r>
      <w:r w:rsidR="00E82688" w:rsidRPr="00BB6EBF">
        <w:rPr>
          <w:rFonts w:cs="Arial"/>
        </w:rPr>
        <w:t>b</w:t>
      </w:r>
      <w:r w:rsidR="00BB6EBF">
        <w:rPr>
          <w:rFonts w:cs="Arial"/>
        </w:rPr>
        <w:t>)</w:t>
      </w:r>
      <w:r w:rsidRPr="00BB6EBF">
        <w:rPr>
          <w:rFonts w:cs="Arial"/>
        </w:rPr>
        <w:t xml:space="preserve"> on the main pay range </w:t>
      </w:r>
      <w:r w:rsidR="00BB6EBF" w:rsidRPr="00BB6EBF">
        <w:rPr>
          <w:rFonts w:cs="Arial"/>
        </w:rPr>
        <w:t>were</w:t>
      </w:r>
      <w:r w:rsidRPr="00BB6EBF">
        <w:rPr>
          <w:rFonts w:cs="Arial"/>
        </w:rPr>
        <w:t xml:space="preserve"> re</w:t>
      </w:r>
      <w:r w:rsidR="00E82688" w:rsidRPr="00BB6EBF">
        <w:rPr>
          <w:rFonts w:cs="Arial"/>
        </w:rPr>
        <w:t>moved from 1</w:t>
      </w:r>
      <w:r w:rsidR="00E82688" w:rsidRPr="00BB6EBF">
        <w:rPr>
          <w:rFonts w:cs="Arial"/>
          <w:vertAlign w:val="superscript"/>
        </w:rPr>
        <w:t>st</w:t>
      </w:r>
      <w:r w:rsidR="00E82688" w:rsidRPr="00BB6EBF">
        <w:rPr>
          <w:rFonts w:cs="Arial"/>
        </w:rPr>
        <w:t xml:space="preserve"> September 2018. Any teacher paid at 6 </w:t>
      </w:r>
      <w:r w:rsidR="00BB6EBF">
        <w:rPr>
          <w:rFonts w:cs="Arial"/>
        </w:rPr>
        <w:t>(</w:t>
      </w:r>
      <w:r w:rsidR="00E82688" w:rsidRPr="00BB6EBF">
        <w:rPr>
          <w:rFonts w:cs="Arial"/>
        </w:rPr>
        <w:t>a</w:t>
      </w:r>
      <w:r w:rsidR="00BB6EBF">
        <w:rPr>
          <w:rFonts w:cs="Arial"/>
        </w:rPr>
        <w:t>)</w:t>
      </w:r>
      <w:r w:rsidR="00E82688" w:rsidRPr="00BB6EBF">
        <w:rPr>
          <w:rFonts w:cs="Arial"/>
        </w:rPr>
        <w:t xml:space="preserve"> on 31</w:t>
      </w:r>
      <w:r w:rsidR="00E82688" w:rsidRPr="00BB6EBF">
        <w:rPr>
          <w:rFonts w:cs="Arial"/>
          <w:vertAlign w:val="superscript"/>
        </w:rPr>
        <w:t>st</w:t>
      </w:r>
      <w:r w:rsidR="00E82688" w:rsidRPr="00BB6EBF">
        <w:rPr>
          <w:rFonts w:cs="Arial"/>
        </w:rPr>
        <w:t xml:space="preserve"> August 2018 progress</w:t>
      </w:r>
      <w:r w:rsidR="00BB6EBF" w:rsidRPr="00BB6EBF">
        <w:rPr>
          <w:rFonts w:cs="Arial"/>
        </w:rPr>
        <w:t>ed</w:t>
      </w:r>
      <w:r w:rsidR="00E82688" w:rsidRPr="00BB6EBF">
        <w:rPr>
          <w:rFonts w:cs="Arial"/>
        </w:rPr>
        <w:t xml:space="preserve"> automatically to Main Pay Range 6</w:t>
      </w:r>
      <w:r w:rsidR="00BB6EBF">
        <w:rPr>
          <w:rFonts w:cs="Arial"/>
        </w:rPr>
        <w:t>, the top of the Main Pay Range for East Sussex maintained schools.</w:t>
      </w:r>
      <w:r w:rsidR="00C97737">
        <w:rPr>
          <w:rFonts w:cs="Arial"/>
        </w:rPr>
        <w:t xml:space="preserve"> </w:t>
      </w:r>
      <w:r w:rsidR="00E82688" w:rsidRPr="00BB6EBF">
        <w:rPr>
          <w:rFonts w:cs="Arial"/>
        </w:rPr>
        <w:t xml:space="preserve"> </w:t>
      </w:r>
      <w:r w:rsidR="004A1EAC" w:rsidRPr="0029565F">
        <w:t xml:space="preserve">Please also refer to section 6 of the </w:t>
      </w:r>
      <w:r w:rsidR="005D70FF" w:rsidRPr="00BB6EBF">
        <w:rPr>
          <w:color w:val="0000FF"/>
        </w:rPr>
        <w:t>Supplementary guidance document</w:t>
      </w:r>
      <w:r w:rsidR="004A1EAC" w:rsidRPr="0029565F" w:rsidDel="000736AF">
        <w:t xml:space="preserve"> </w:t>
      </w:r>
      <w:r w:rsidR="004A1EAC" w:rsidRPr="0029565F">
        <w:t>for further information</w:t>
      </w:r>
      <w:r w:rsidR="00E82688">
        <w:t xml:space="preserve"> on performance based pay progression</w:t>
      </w:r>
      <w:r w:rsidR="004A1EAC" w:rsidRPr="0029565F">
        <w:t>.</w:t>
      </w:r>
    </w:p>
    <w:p w14:paraId="39DCFE0F" w14:textId="77777777" w:rsidR="00CD6FDF" w:rsidRPr="0029565F" w:rsidRDefault="00CD6FDF" w:rsidP="00CD6FDF">
      <w:pPr>
        <w:pStyle w:val="Heading2"/>
        <w:keepLines/>
      </w:pPr>
      <w:bookmarkStart w:id="42" w:name="_Toc54700380"/>
      <w:r w:rsidRPr="0029565F">
        <w:t>Upper pay range for teachers</w:t>
      </w:r>
      <w:bookmarkEnd w:id="42"/>
    </w:p>
    <w:p w14:paraId="6E0B4D3A" w14:textId="77777777" w:rsidR="00B769BA" w:rsidRPr="0029565F" w:rsidRDefault="00E85B7F" w:rsidP="00113651">
      <w:pPr>
        <w:keepNext/>
        <w:keepLines/>
        <w:numPr>
          <w:ilvl w:val="0"/>
          <w:numId w:val="14"/>
        </w:numPr>
        <w:spacing w:before="120"/>
        <w:ind w:left="357" w:hanging="357"/>
        <w:rPr>
          <w:b/>
        </w:rPr>
      </w:pPr>
      <w:r w:rsidRPr="0029565F">
        <w:rPr>
          <w:b/>
        </w:rPr>
        <w:t xml:space="preserve">Upper </w:t>
      </w:r>
      <w:r w:rsidR="002739E6" w:rsidRPr="0029565F">
        <w:rPr>
          <w:b/>
        </w:rPr>
        <w:t>pay r</w:t>
      </w:r>
      <w:r w:rsidRPr="0029565F">
        <w:rPr>
          <w:b/>
        </w:rPr>
        <w:t>ange</w:t>
      </w:r>
      <w:r w:rsidR="002739E6" w:rsidRPr="0029565F">
        <w:rPr>
          <w:b/>
        </w:rPr>
        <w:t xml:space="preserve"> t</w:t>
      </w:r>
      <w:r w:rsidRPr="0029565F">
        <w:rPr>
          <w:b/>
        </w:rPr>
        <w:t xml:space="preserve">eachers </w:t>
      </w:r>
    </w:p>
    <w:p w14:paraId="429EAAB9" w14:textId="1B203988" w:rsidR="00507930" w:rsidRPr="0029565F" w:rsidRDefault="00084740" w:rsidP="00EE1551">
      <w:pPr>
        <w:pStyle w:val="Numbered"/>
        <w:keepLines/>
        <w:numPr>
          <w:ilvl w:val="1"/>
          <w:numId w:val="14"/>
        </w:numPr>
        <w:tabs>
          <w:tab w:val="num" w:pos="567"/>
        </w:tabs>
        <w:spacing w:before="120"/>
        <w:ind w:left="562" w:hanging="562"/>
        <w:outlineLvl w:val="3"/>
        <w:rPr>
          <w:rFonts w:cs="Arial"/>
        </w:rPr>
      </w:pPr>
      <w:r w:rsidRPr="0029565F">
        <w:rPr>
          <w:rFonts w:cs="Arial"/>
        </w:rPr>
        <w:t xml:space="preserve">A teacher on the upper pay range will be paid such salary on the </w:t>
      </w:r>
      <w:r w:rsidR="002739E6" w:rsidRPr="0029565F">
        <w:rPr>
          <w:rFonts w:cs="Arial"/>
        </w:rPr>
        <w:t>r</w:t>
      </w:r>
      <w:r w:rsidRPr="0029565F">
        <w:rPr>
          <w:rFonts w:cs="Arial"/>
        </w:rPr>
        <w:t xml:space="preserve">eference </w:t>
      </w:r>
      <w:r w:rsidR="002739E6" w:rsidRPr="0029565F">
        <w:rPr>
          <w:rFonts w:cs="Arial"/>
        </w:rPr>
        <w:t>p</w:t>
      </w:r>
      <w:r w:rsidRPr="0029565F">
        <w:rPr>
          <w:rFonts w:cs="Arial"/>
        </w:rPr>
        <w:t xml:space="preserve">oints </w:t>
      </w:r>
      <w:r w:rsidR="00C016EF" w:rsidRPr="0029565F">
        <w:rPr>
          <w:rFonts w:cs="Arial"/>
        </w:rPr>
        <w:t xml:space="preserve">  </w:t>
      </w:r>
      <w:r w:rsidRPr="0029565F">
        <w:rPr>
          <w:rFonts w:cs="Arial"/>
        </w:rPr>
        <w:t xml:space="preserve">set within the minimum and maximum of the main pay range below as the </w:t>
      </w:r>
      <w:r w:rsidR="00D01FC0">
        <w:rPr>
          <w:rFonts w:cs="Arial"/>
        </w:rPr>
        <w:t>Governing board</w:t>
      </w:r>
      <w:r w:rsidRPr="0029565F">
        <w:rPr>
          <w:rFonts w:cs="Arial"/>
        </w:rPr>
        <w:t xml:space="preserve"> determines</w:t>
      </w:r>
      <w:r w:rsidR="00185B5F">
        <w:rPr>
          <w:rFonts w:cs="Arial"/>
        </w:rPr>
        <w:t xml:space="preserve">.  In East Sussex there has been the option </w:t>
      </w:r>
      <w:r w:rsidR="00D7357D">
        <w:rPr>
          <w:rFonts w:cs="Arial"/>
        </w:rPr>
        <w:t xml:space="preserve">since September 2013 </w:t>
      </w:r>
      <w:r w:rsidR="00185B5F">
        <w:rPr>
          <w:rFonts w:cs="Arial"/>
        </w:rPr>
        <w:t>for the Governing Board to adopt a 5 point upper pay range, or a 3 point upper pay range.</w:t>
      </w:r>
      <w:r w:rsidR="00507930" w:rsidRPr="00EE1551">
        <w:rPr>
          <w:rFonts w:cs="Arial"/>
        </w:rPr>
        <w:t xml:space="preserve"> </w:t>
      </w:r>
      <w:r w:rsidR="00D7357D">
        <w:rPr>
          <w:rFonts w:cs="Arial"/>
        </w:rPr>
        <w:t xml:space="preserve">  Please see paragraph 6.7 of the Supplementary Guidance document for further information.</w:t>
      </w:r>
    </w:p>
    <w:p w14:paraId="1F06DFB8" w14:textId="7471507E" w:rsidR="004E4CF9" w:rsidRDefault="004E4CF9" w:rsidP="004E4CF9">
      <w:pPr>
        <w:pStyle w:val="Numbered"/>
        <w:keepLines/>
        <w:spacing w:before="120"/>
        <w:ind w:left="360"/>
        <w:outlineLvl w:val="3"/>
        <w:rPr>
          <w:rFonts w:cs="Arial"/>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445"/>
        <w:gridCol w:w="2157"/>
      </w:tblGrid>
      <w:tr w:rsidR="004E4CF9" w:rsidRPr="0029565F" w14:paraId="6E6D5935" w14:textId="77777777" w:rsidTr="008A7D6E">
        <w:trPr>
          <w:jc w:val="center"/>
        </w:trPr>
        <w:tc>
          <w:tcPr>
            <w:tcW w:w="5602" w:type="dxa"/>
            <w:gridSpan w:val="2"/>
            <w:vAlign w:val="center"/>
          </w:tcPr>
          <w:p w14:paraId="72638189" w14:textId="77777777" w:rsidR="004E4CF9" w:rsidRPr="0029565F" w:rsidRDefault="004E4CF9" w:rsidP="008A7D6E">
            <w:pPr>
              <w:spacing w:before="60" w:after="60"/>
              <w:jc w:val="center"/>
              <w:rPr>
                <w:rFonts w:cs="Arial"/>
                <w:b/>
              </w:rPr>
            </w:pPr>
            <w:r w:rsidRPr="0029565F">
              <w:rPr>
                <w:rFonts w:cs="Arial"/>
                <w:b/>
              </w:rPr>
              <w:t>Upper Pay Range for Teachers 20</w:t>
            </w:r>
            <w:r>
              <w:rPr>
                <w:rFonts w:cs="Arial"/>
                <w:b/>
              </w:rPr>
              <w:t>20/21</w:t>
            </w:r>
          </w:p>
        </w:tc>
      </w:tr>
      <w:tr w:rsidR="004E4CF9" w:rsidRPr="0029565F" w14:paraId="3130405B" w14:textId="77777777" w:rsidTr="008A7D6E">
        <w:trPr>
          <w:jc w:val="center"/>
        </w:trPr>
        <w:tc>
          <w:tcPr>
            <w:tcW w:w="3445" w:type="dxa"/>
          </w:tcPr>
          <w:p w14:paraId="74042A94" w14:textId="77777777" w:rsidR="004E4CF9" w:rsidRPr="0029565F" w:rsidRDefault="004E4CF9" w:rsidP="008A7D6E">
            <w:pPr>
              <w:spacing w:before="60" w:after="60"/>
              <w:jc w:val="right"/>
              <w:rPr>
                <w:rFonts w:cs="Arial"/>
              </w:rPr>
            </w:pPr>
            <w:r w:rsidRPr="0029565F">
              <w:rPr>
                <w:rFonts w:cs="Arial"/>
                <w:b/>
              </w:rPr>
              <w:t xml:space="preserve">Minimum </w:t>
            </w:r>
            <w:r>
              <w:rPr>
                <w:rFonts w:cs="Arial"/>
              </w:rPr>
              <w:t>U</w:t>
            </w:r>
            <w:r w:rsidRPr="0029565F">
              <w:rPr>
                <w:rFonts w:cs="Arial"/>
              </w:rPr>
              <w:t>1</w:t>
            </w:r>
          </w:p>
        </w:tc>
        <w:tc>
          <w:tcPr>
            <w:tcW w:w="2157" w:type="dxa"/>
          </w:tcPr>
          <w:p w14:paraId="5EE2785C" w14:textId="3D539376" w:rsidR="004E4CF9" w:rsidRPr="0029565F" w:rsidRDefault="004E4CF9" w:rsidP="008A7D6E">
            <w:pPr>
              <w:spacing w:before="60" w:after="60"/>
              <w:jc w:val="center"/>
              <w:rPr>
                <w:rFonts w:cs="Arial"/>
              </w:rPr>
            </w:pPr>
            <w:r>
              <w:rPr>
                <w:rFonts w:cs="Arial"/>
              </w:rPr>
              <w:t>£</w:t>
            </w:r>
            <w:r w:rsidR="00185B5F">
              <w:rPr>
                <w:rFonts w:cs="Arial"/>
              </w:rPr>
              <w:t>38,690</w:t>
            </w:r>
          </w:p>
        </w:tc>
      </w:tr>
      <w:tr w:rsidR="004E4CF9" w:rsidRPr="0029565F" w14:paraId="56E909B2" w14:textId="77777777" w:rsidTr="008A7D6E">
        <w:trPr>
          <w:jc w:val="center"/>
        </w:trPr>
        <w:tc>
          <w:tcPr>
            <w:tcW w:w="3445" w:type="dxa"/>
          </w:tcPr>
          <w:p w14:paraId="2321C238" w14:textId="3180C44F" w:rsidR="004E4CF9" w:rsidRPr="0029565F" w:rsidRDefault="00197197" w:rsidP="008A7D6E">
            <w:pPr>
              <w:spacing w:before="60" w:after="60"/>
              <w:jc w:val="right"/>
              <w:rPr>
                <w:rFonts w:cs="Arial"/>
              </w:rPr>
            </w:pPr>
            <w:r>
              <w:rPr>
                <w:rFonts w:cs="Arial"/>
              </w:rPr>
              <w:t>U</w:t>
            </w:r>
            <w:r w:rsidR="004E4CF9" w:rsidRPr="0029565F">
              <w:rPr>
                <w:rFonts w:cs="Arial"/>
              </w:rPr>
              <w:t>2</w:t>
            </w:r>
          </w:p>
        </w:tc>
        <w:tc>
          <w:tcPr>
            <w:tcW w:w="2157" w:type="dxa"/>
          </w:tcPr>
          <w:p w14:paraId="6124AC0B" w14:textId="2DA11FAC" w:rsidR="004E4CF9" w:rsidRPr="0029565F" w:rsidRDefault="004E4CF9" w:rsidP="008A7D6E">
            <w:pPr>
              <w:spacing w:before="60" w:after="60"/>
              <w:jc w:val="center"/>
              <w:rPr>
                <w:rFonts w:cs="Arial"/>
              </w:rPr>
            </w:pPr>
            <w:r>
              <w:rPr>
                <w:rFonts w:cs="Arial"/>
              </w:rPr>
              <w:t>£</w:t>
            </w:r>
            <w:r w:rsidR="00185B5F">
              <w:rPr>
                <w:rFonts w:cs="Arial"/>
              </w:rPr>
              <w:t>39,405</w:t>
            </w:r>
          </w:p>
        </w:tc>
      </w:tr>
      <w:tr w:rsidR="004E4CF9" w:rsidRPr="0029565F" w14:paraId="09014C4C" w14:textId="77777777" w:rsidTr="008A7D6E">
        <w:trPr>
          <w:jc w:val="center"/>
        </w:trPr>
        <w:tc>
          <w:tcPr>
            <w:tcW w:w="3445" w:type="dxa"/>
          </w:tcPr>
          <w:p w14:paraId="4525DA7D" w14:textId="463CFAB2" w:rsidR="004E4CF9" w:rsidRPr="0029565F" w:rsidRDefault="00197197" w:rsidP="008A7D6E">
            <w:pPr>
              <w:spacing w:before="60" w:after="60"/>
              <w:jc w:val="right"/>
              <w:rPr>
                <w:rFonts w:cs="Arial"/>
              </w:rPr>
            </w:pPr>
            <w:r>
              <w:rPr>
                <w:rFonts w:cs="Arial"/>
              </w:rPr>
              <w:t>U3</w:t>
            </w:r>
          </w:p>
        </w:tc>
        <w:tc>
          <w:tcPr>
            <w:tcW w:w="2157" w:type="dxa"/>
          </w:tcPr>
          <w:p w14:paraId="583BCBAB" w14:textId="416B5AC2" w:rsidR="004E4CF9" w:rsidRPr="0029565F" w:rsidRDefault="004E4CF9" w:rsidP="008A7D6E">
            <w:pPr>
              <w:spacing w:before="60" w:after="60"/>
              <w:jc w:val="center"/>
              <w:rPr>
                <w:rFonts w:cs="Arial"/>
              </w:rPr>
            </w:pPr>
            <w:r>
              <w:rPr>
                <w:rFonts w:cs="Arial"/>
              </w:rPr>
              <w:t>£</w:t>
            </w:r>
            <w:r w:rsidR="00185B5F">
              <w:rPr>
                <w:rFonts w:cs="Arial"/>
              </w:rPr>
              <w:t>40,124</w:t>
            </w:r>
          </w:p>
        </w:tc>
      </w:tr>
      <w:tr w:rsidR="004E4CF9" w:rsidRPr="0029565F" w14:paraId="455E5CB8" w14:textId="77777777" w:rsidTr="008A7D6E">
        <w:trPr>
          <w:jc w:val="center"/>
        </w:trPr>
        <w:tc>
          <w:tcPr>
            <w:tcW w:w="3445" w:type="dxa"/>
          </w:tcPr>
          <w:p w14:paraId="11D8A5AD" w14:textId="3BEB5E6A" w:rsidR="004E4CF9" w:rsidRPr="0029565F" w:rsidRDefault="00197197" w:rsidP="008A7D6E">
            <w:pPr>
              <w:spacing w:before="60" w:after="60"/>
              <w:jc w:val="right"/>
              <w:rPr>
                <w:rFonts w:cs="Arial"/>
              </w:rPr>
            </w:pPr>
            <w:r>
              <w:rPr>
                <w:rFonts w:cs="Arial"/>
              </w:rPr>
              <w:t>U4</w:t>
            </w:r>
          </w:p>
        </w:tc>
        <w:tc>
          <w:tcPr>
            <w:tcW w:w="2157" w:type="dxa"/>
          </w:tcPr>
          <w:p w14:paraId="3F589BD0" w14:textId="6CDF7BFA" w:rsidR="004E4CF9" w:rsidRPr="0029565F" w:rsidRDefault="004E4CF9" w:rsidP="008A7D6E">
            <w:pPr>
              <w:spacing w:before="60" w:after="60"/>
              <w:jc w:val="center"/>
              <w:rPr>
                <w:rFonts w:cs="Arial"/>
              </w:rPr>
            </w:pPr>
            <w:r>
              <w:rPr>
                <w:rFonts w:cs="Arial"/>
              </w:rPr>
              <w:t>£</w:t>
            </w:r>
            <w:r w:rsidR="00185B5F">
              <w:rPr>
                <w:rFonts w:cs="Arial"/>
              </w:rPr>
              <w:t>40,862</w:t>
            </w:r>
          </w:p>
        </w:tc>
      </w:tr>
      <w:tr w:rsidR="004E4CF9" w:rsidRPr="0029565F" w14:paraId="35F1201F" w14:textId="77777777" w:rsidTr="008A7D6E">
        <w:trPr>
          <w:jc w:val="center"/>
        </w:trPr>
        <w:tc>
          <w:tcPr>
            <w:tcW w:w="3445" w:type="dxa"/>
          </w:tcPr>
          <w:p w14:paraId="5017D6BC" w14:textId="710BB7D0" w:rsidR="004E4CF9" w:rsidRPr="0029565F" w:rsidRDefault="004E4CF9" w:rsidP="008A7D6E">
            <w:pPr>
              <w:spacing w:before="60" w:after="60"/>
              <w:jc w:val="right"/>
              <w:rPr>
                <w:rFonts w:cs="Arial"/>
              </w:rPr>
            </w:pPr>
            <w:r w:rsidRPr="0029565F">
              <w:rPr>
                <w:rFonts w:cs="Arial"/>
                <w:b/>
              </w:rPr>
              <w:t>Maximum</w:t>
            </w:r>
            <w:r w:rsidRPr="0029565F">
              <w:rPr>
                <w:rFonts w:cs="Arial"/>
              </w:rPr>
              <w:t xml:space="preserve"> </w:t>
            </w:r>
            <w:r w:rsidR="00197197">
              <w:rPr>
                <w:rFonts w:cs="Arial"/>
              </w:rPr>
              <w:t>U</w:t>
            </w:r>
            <w:r w:rsidRPr="0029565F">
              <w:rPr>
                <w:rFonts w:cs="Arial"/>
              </w:rPr>
              <w:t>5</w:t>
            </w:r>
          </w:p>
        </w:tc>
        <w:tc>
          <w:tcPr>
            <w:tcW w:w="2157" w:type="dxa"/>
          </w:tcPr>
          <w:p w14:paraId="3D95C69C" w14:textId="2443475F" w:rsidR="004E4CF9" w:rsidRPr="0029565F" w:rsidRDefault="004E4CF9" w:rsidP="008A7D6E">
            <w:pPr>
              <w:spacing w:before="60" w:after="60"/>
              <w:jc w:val="center"/>
              <w:rPr>
                <w:rFonts w:cs="Arial"/>
              </w:rPr>
            </w:pPr>
            <w:r>
              <w:rPr>
                <w:rFonts w:cs="Arial"/>
              </w:rPr>
              <w:t>£</w:t>
            </w:r>
            <w:r w:rsidR="00185B5F">
              <w:rPr>
                <w:rFonts w:cs="Arial"/>
              </w:rPr>
              <w:t>41,604</w:t>
            </w:r>
          </w:p>
        </w:tc>
      </w:tr>
    </w:tbl>
    <w:p w14:paraId="3A29D880" w14:textId="77777777" w:rsidR="004E4CF9" w:rsidRDefault="004E4CF9" w:rsidP="009B7634">
      <w:pPr>
        <w:pStyle w:val="Numbered"/>
        <w:keepLines/>
        <w:spacing w:before="120"/>
        <w:ind w:left="360"/>
        <w:outlineLvl w:val="3"/>
        <w:rPr>
          <w:rFonts w:cs="Arial"/>
        </w:rPr>
      </w:pPr>
    </w:p>
    <w:p w14:paraId="1F741F5E" w14:textId="77777777" w:rsidR="00113C7E" w:rsidRDefault="00084740" w:rsidP="00EE1551">
      <w:pPr>
        <w:pStyle w:val="Numbered"/>
        <w:keepLines/>
        <w:numPr>
          <w:ilvl w:val="1"/>
          <w:numId w:val="14"/>
        </w:numPr>
        <w:tabs>
          <w:tab w:val="num" w:pos="567"/>
        </w:tabs>
        <w:spacing w:before="120"/>
        <w:ind w:left="562" w:hanging="562"/>
        <w:outlineLvl w:val="3"/>
        <w:rPr>
          <w:rFonts w:cs="Arial"/>
        </w:rPr>
      </w:pPr>
      <w:r w:rsidRPr="0029565F">
        <w:rPr>
          <w:rFonts w:cs="Arial"/>
        </w:rPr>
        <w:t xml:space="preserve">There will be increasing expectation as a teacher progresses up the upper pay range and appraisal objectives will become more challenging to reflect such progression. </w:t>
      </w:r>
    </w:p>
    <w:p w14:paraId="187AB758" w14:textId="3316F17E" w:rsidR="00213F67" w:rsidRPr="00113C7E" w:rsidRDefault="00084740" w:rsidP="00113C7E">
      <w:pPr>
        <w:pStyle w:val="Numbered"/>
        <w:keepLines/>
        <w:numPr>
          <w:ilvl w:val="1"/>
          <w:numId w:val="14"/>
        </w:numPr>
        <w:spacing w:before="120"/>
        <w:ind w:left="562" w:hanging="562"/>
        <w:outlineLvl w:val="3"/>
        <w:rPr>
          <w:rFonts w:cs="Arial"/>
        </w:rPr>
      </w:pPr>
      <w:r w:rsidRPr="0029565F">
        <w:rPr>
          <w:rFonts w:cs="Arial"/>
        </w:rPr>
        <w:t xml:space="preserve"> </w:t>
      </w:r>
      <w:r w:rsidR="009F6E16" w:rsidRPr="00113C7E">
        <w:rPr>
          <w:rFonts w:cs="Arial"/>
        </w:rPr>
        <w:t>For</w:t>
      </w:r>
      <w:r w:rsidR="00185B5F" w:rsidRPr="00113C7E">
        <w:rPr>
          <w:rFonts w:cs="Arial"/>
        </w:rPr>
        <w:t xml:space="preserve"> the 5 point upper pay range i</w:t>
      </w:r>
      <w:r w:rsidRPr="00113C7E">
        <w:rPr>
          <w:rFonts w:cs="Arial"/>
        </w:rPr>
        <w:t>n order to progress by</w:t>
      </w:r>
      <w:r w:rsidR="004A1EAC" w:rsidRPr="00113C7E">
        <w:rPr>
          <w:rFonts w:cs="Arial"/>
        </w:rPr>
        <w:t xml:space="preserve"> one reference point annually,</w:t>
      </w:r>
      <w:r w:rsidRPr="00113C7E">
        <w:rPr>
          <w:rFonts w:cs="Arial"/>
        </w:rPr>
        <w:t xml:space="preserve"> teachers will need to have met their objectives</w:t>
      </w:r>
      <w:r w:rsidR="00B8675D" w:rsidRPr="00113C7E">
        <w:rPr>
          <w:rFonts w:cs="Arial"/>
        </w:rPr>
        <w:t xml:space="preserve"> and continue to meet the</w:t>
      </w:r>
      <w:r w:rsidRPr="00113C7E">
        <w:rPr>
          <w:rFonts w:cs="Arial"/>
        </w:rPr>
        <w:t xml:space="preserve"> criteria set out in </w:t>
      </w:r>
      <w:r w:rsidR="00BD017C" w:rsidRPr="00113C7E">
        <w:rPr>
          <w:rFonts w:cs="Arial"/>
        </w:rPr>
        <w:t>paragraph 15.2</w:t>
      </w:r>
      <w:r w:rsidR="00E362F7" w:rsidRPr="00113C7E">
        <w:rPr>
          <w:rFonts w:cs="Arial"/>
        </w:rPr>
        <w:t xml:space="preserve"> of the STPCD 20</w:t>
      </w:r>
      <w:r w:rsidR="00655320" w:rsidRPr="00113C7E">
        <w:rPr>
          <w:rFonts w:cs="Arial"/>
        </w:rPr>
        <w:t>20</w:t>
      </w:r>
      <w:r w:rsidR="00E362F7" w:rsidRPr="00113C7E">
        <w:rPr>
          <w:rFonts w:cs="Arial"/>
        </w:rPr>
        <w:t>: they are highly competent in all elements of the relevant standards and that their achievements and contribution to the school are substantial and sustained.</w:t>
      </w:r>
      <w:r w:rsidR="00185B5F" w:rsidRPr="00113C7E">
        <w:rPr>
          <w:rFonts w:cs="Arial"/>
        </w:rPr>
        <w:t xml:space="preserve">  </w:t>
      </w:r>
      <w:r w:rsidR="009F6E16" w:rsidRPr="00113C7E">
        <w:rPr>
          <w:rFonts w:cs="Arial"/>
        </w:rPr>
        <w:t>For</w:t>
      </w:r>
      <w:r w:rsidR="00185B5F" w:rsidRPr="00113C7E">
        <w:rPr>
          <w:rFonts w:cs="Arial"/>
        </w:rPr>
        <w:t xml:space="preserve"> the 3 point upper pay range, </w:t>
      </w:r>
      <w:r w:rsidR="007D4D22" w:rsidRPr="00113C7E">
        <w:rPr>
          <w:rFonts w:cs="Arial"/>
        </w:rPr>
        <w:t xml:space="preserve">a pay review should take place annually, and </w:t>
      </w:r>
      <w:r w:rsidR="00185B5F" w:rsidRPr="00113C7E">
        <w:rPr>
          <w:rFonts w:cs="Arial"/>
        </w:rPr>
        <w:t xml:space="preserve">pay </w:t>
      </w:r>
      <w:r w:rsidR="007D4D22" w:rsidRPr="00113C7E">
        <w:rPr>
          <w:rFonts w:cs="Arial"/>
        </w:rPr>
        <w:t>progression</w:t>
      </w:r>
      <w:r w:rsidR="00185B5F" w:rsidRPr="00113C7E">
        <w:rPr>
          <w:rFonts w:cs="Arial"/>
        </w:rPr>
        <w:t xml:space="preserve"> </w:t>
      </w:r>
      <w:r w:rsidR="007D4D22" w:rsidRPr="00113C7E">
        <w:rPr>
          <w:rFonts w:cs="Arial"/>
        </w:rPr>
        <w:t>does not need to be restricted to</w:t>
      </w:r>
      <w:r w:rsidR="00D7357D" w:rsidRPr="00113C7E">
        <w:rPr>
          <w:rFonts w:cs="Arial"/>
        </w:rPr>
        <w:t xml:space="preserve"> </w:t>
      </w:r>
      <w:r w:rsidR="009F6E16" w:rsidRPr="00113C7E">
        <w:rPr>
          <w:rFonts w:cs="Arial"/>
        </w:rPr>
        <w:t>every</w:t>
      </w:r>
      <w:r w:rsidR="009A6E2C" w:rsidRPr="00113C7E">
        <w:rPr>
          <w:rFonts w:cs="Arial"/>
        </w:rPr>
        <w:t xml:space="preserve"> other year</w:t>
      </w:r>
      <w:r w:rsidR="009F6E16" w:rsidRPr="00113C7E">
        <w:rPr>
          <w:rFonts w:cs="Arial"/>
        </w:rPr>
        <w:t>,</w:t>
      </w:r>
      <w:r w:rsidR="009A6E2C" w:rsidRPr="00113C7E">
        <w:rPr>
          <w:rFonts w:cs="Arial"/>
        </w:rPr>
        <w:t xml:space="preserve"> </w:t>
      </w:r>
      <w:r w:rsidR="007D4D22" w:rsidRPr="00113C7E">
        <w:rPr>
          <w:rFonts w:cs="Arial"/>
        </w:rPr>
        <w:t xml:space="preserve">which should be the minimum </w:t>
      </w:r>
      <w:r w:rsidR="009A6E2C" w:rsidRPr="00113C7E">
        <w:rPr>
          <w:rFonts w:cs="Arial"/>
        </w:rPr>
        <w:t>until the top of the pay range is achieved</w:t>
      </w:r>
      <w:r w:rsidR="009F6E16" w:rsidRPr="00113C7E">
        <w:rPr>
          <w:rFonts w:cs="Arial"/>
        </w:rPr>
        <w:t>.</w:t>
      </w:r>
      <w:r w:rsidR="00185B5F" w:rsidRPr="00113C7E">
        <w:rPr>
          <w:rFonts w:cs="Arial"/>
        </w:rPr>
        <w:t xml:space="preserve"> </w:t>
      </w:r>
    </w:p>
    <w:p w14:paraId="420DA76C" w14:textId="0E935D4B" w:rsidR="00E362F7" w:rsidRDefault="00213F67" w:rsidP="00EE1551">
      <w:pPr>
        <w:pStyle w:val="Numbered"/>
        <w:keepLines/>
        <w:numPr>
          <w:ilvl w:val="1"/>
          <w:numId w:val="14"/>
        </w:numPr>
        <w:tabs>
          <w:tab w:val="num" w:pos="567"/>
        </w:tabs>
        <w:spacing w:before="120"/>
        <w:ind w:left="562" w:hanging="562"/>
        <w:outlineLvl w:val="3"/>
        <w:rPr>
          <w:rFonts w:cs="Arial"/>
        </w:rPr>
      </w:pPr>
      <w:r>
        <w:rPr>
          <w:rFonts w:cs="Arial"/>
        </w:rPr>
        <w:t>C</w:t>
      </w:r>
      <w:r>
        <w:rPr>
          <w:rFonts w:cs="Arial"/>
          <w:color w:val="000000"/>
        </w:rPr>
        <w:t xml:space="preserve">ontinued good performance as defined by </w:t>
      </w:r>
      <w:r w:rsidR="0079222F">
        <w:rPr>
          <w:rFonts w:cs="Arial"/>
          <w:color w:val="000000"/>
        </w:rPr>
        <w:t>this</w:t>
      </w:r>
      <w:r>
        <w:rPr>
          <w:rFonts w:cs="Arial"/>
          <w:color w:val="000000"/>
        </w:rPr>
        <w:t xml:space="preserve"> school’s pay policy should give a teacher an expectation of progression to the top of their respective pay range.</w:t>
      </w:r>
    </w:p>
    <w:p w14:paraId="4B740B6A" w14:textId="0460FA66" w:rsidR="00FF5F45" w:rsidRPr="0029565F" w:rsidRDefault="00FF5F45" w:rsidP="00BD017C">
      <w:pPr>
        <w:pStyle w:val="Numbered"/>
        <w:keepLines/>
        <w:numPr>
          <w:ilvl w:val="1"/>
          <w:numId w:val="14"/>
        </w:numPr>
        <w:tabs>
          <w:tab w:val="num" w:pos="567"/>
        </w:tabs>
        <w:ind w:left="567" w:hanging="567"/>
        <w:outlineLvl w:val="3"/>
        <w:rPr>
          <w:rFonts w:cs="Arial"/>
        </w:rPr>
      </w:pPr>
      <w:r w:rsidRPr="0029565F">
        <w:rPr>
          <w:rFonts w:cs="Arial"/>
        </w:rPr>
        <w:t xml:space="preserve">If the evidence collated shows that a teacher has excelled over the duration of the academic year being assessed, the </w:t>
      </w:r>
      <w:r w:rsidR="00D01FC0">
        <w:rPr>
          <w:rFonts w:cs="Arial"/>
        </w:rPr>
        <w:t>Governing board</w:t>
      </w:r>
      <w:r w:rsidRPr="0029565F">
        <w:rPr>
          <w:rFonts w:cs="Arial"/>
        </w:rPr>
        <w:t xml:space="preserve"> will consider awarding enhanced pay progression </w:t>
      </w:r>
      <w:r w:rsidR="004A1EAC" w:rsidRPr="0029565F">
        <w:rPr>
          <w:rFonts w:cs="Arial"/>
        </w:rPr>
        <w:t xml:space="preserve">in addition to </w:t>
      </w:r>
      <w:r w:rsidR="00A21667" w:rsidRPr="0029565F">
        <w:rPr>
          <w:rFonts w:cs="Arial"/>
        </w:rPr>
        <w:t xml:space="preserve">the </w:t>
      </w:r>
      <w:r w:rsidR="004A1EAC" w:rsidRPr="0029565F">
        <w:rPr>
          <w:rFonts w:cs="Arial"/>
        </w:rPr>
        <w:t>annual</w:t>
      </w:r>
      <w:r w:rsidR="004A1EAC" w:rsidRPr="0029565F">
        <w:rPr>
          <w:rFonts w:cs="Arial"/>
          <w:i/>
        </w:rPr>
        <w:t xml:space="preserve"> </w:t>
      </w:r>
      <w:r w:rsidRPr="0029565F">
        <w:rPr>
          <w:rFonts w:cs="Arial"/>
        </w:rPr>
        <w:t>reference point</w:t>
      </w:r>
      <w:r w:rsidR="00113C7E">
        <w:rPr>
          <w:rFonts w:cs="Arial"/>
        </w:rPr>
        <w:t>.</w:t>
      </w:r>
      <w:r w:rsidR="00230EA5">
        <w:rPr>
          <w:rFonts w:cs="Arial"/>
        </w:rPr>
        <w:t xml:space="preserve">  </w:t>
      </w:r>
      <w:r w:rsidRPr="0029565F">
        <w:rPr>
          <w:rFonts w:cs="Arial"/>
        </w:rPr>
        <w:t xml:space="preserve"> In such cases teaching and learning should be </w:t>
      </w:r>
      <w:r w:rsidR="00725419">
        <w:rPr>
          <w:rFonts w:cs="Arial"/>
        </w:rPr>
        <w:t xml:space="preserve">judged </w:t>
      </w:r>
      <w:r w:rsidR="00B132E0" w:rsidRPr="0029565F">
        <w:rPr>
          <w:rFonts w:cs="Arial"/>
        </w:rPr>
        <w:t xml:space="preserve">consistently </w:t>
      </w:r>
      <w:r w:rsidR="00B132E0" w:rsidRPr="00950DFC">
        <w:rPr>
          <w:rFonts w:cs="Arial"/>
        </w:rPr>
        <w:t>o</w:t>
      </w:r>
      <w:r w:rsidRPr="00950DFC">
        <w:rPr>
          <w:rFonts w:cs="Arial"/>
        </w:rPr>
        <w:t>utstanding</w:t>
      </w:r>
      <w:r w:rsidR="00725419" w:rsidRPr="00950DFC">
        <w:rPr>
          <w:rFonts w:cs="Arial"/>
        </w:rPr>
        <w:t>,</w:t>
      </w:r>
      <w:r w:rsidR="00725419">
        <w:rPr>
          <w:rFonts w:cs="Arial"/>
          <w:b/>
        </w:rPr>
        <w:t xml:space="preserve"> </w:t>
      </w:r>
      <w:r w:rsidR="00725419" w:rsidRPr="00950DFC">
        <w:rPr>
          <w:rFonts w:cs="Arial"/>
        </w:rPr>
        <w:t xml:space="preserve">based on the triangulation of </w:t>
      </w:r>
      <w:r w:rsidR="00D97223" w:rsidRPr="00950DFC">
        <w:rPr>
          <w:rFonts w:cs="Arial"/>
        </w:rPr>
        <w:t>evidence</w:t>
      </w:r>
      <w:r w:rsidR="00D97223">
        <w:rPr>
          <w:rFonts w:cs="Arial"/>
        </w:rPr>
        <w:t xml:space="preserve"> considered</w:t>
      </w:r>
      <w:r w:rsidR="00725419">
        <w:rPr>
          <w:rFonts w:cs="Arial"/>
        </w:rPr>
        <w:t xml:space="preserve"> during the appraisal process.</w:t>
      </w:r>
    </w:p>
    <w:p w14:paraId="3DE6B92D" w14:textId="77777777" w:rsidR="001D369E" w:rsidRPr="0029565F" w:rsidRDefault="001D369E" w:rsidP="0020750A">
      <w:pPr>
        <w:pStyle w:val="Numbered"/>
        <w:keepLines/>
        <w:numPr>
          <w:ilvl w:val="1"/>
          <w:numId w:val="14"/>
        </w:numPr>
        <w:tabs>
          <w:tab w:val="num" w:pos="567"/>
        </w:tabs>
        <w:ind w:left="567" w:hanging="567"/>
        <w:outlineLvl w:val="3"/>
        <w:rPr>
          <w:rFonts w:cs="Arial"/>
        </w:rPr>
      </w:pPr>
      <w:r w:rsidRPr="0029565F">
        <w:rPr>
          <w:rFonts w:cs="Arial"/>
        </w:rPr>
        <w:t xml:space="preserve">In exceptional cases, additional points </w:t>
      </w:r>
      <w:r w:rsidR="00B132E0" w:rsidRPr="0029565F">
        <w:rPr>
          <w:rFonts w:cs="Arial"/>
        </w:rPr>
        <w:t>up</w:t>
      </w:r>
      <w:r w:rsidRPr="0029565F">
        <w:rPr>
          <w:rFonts w:cs="Arial"/>
        </w:rPr>
        <w:t xml:space="preserve"> to the maximum of the </w:t>
      </w:r>
      <w:r w:rsidR="00F9367D" w:rsidRPr="0029565F">
        <w:rPr>
          <w:rFonts w:cs="Arial"/>
        </w:rPr>
        <w:t>upper</w:t>
      </w:r>
      <w:r w:rsidRPr="0029565F">
        <w:rPr>
          <w:rFonts w:cs="Arial"/>
        </w:rPr>
        <w:t xml:space="preserve"> pay range can be </w:t>
      </w:r>
      <w:r w:rsidR="00B132E0" w:rsidRPr="0029565F">
        <w:rPr>
          <w:rFonts w:cs="Arial"/>
        </w:rPr>
        <w:t>awarded</w:t>
      </w:r>
      <w:r w:rsidRPr="0029565F">
        <w:rPr>
          <w:rFonts w:cs="Arial"/>
        </w:rPr>
        <w:t>.</w:t>
      </w:r>
    </w:p>
    <w:p w14:paraId="575ABAC1" w14:textId="77777777" w:rsidR="00267B2C" w:rsidRPr="0029565F" w:rsidRDefault="00267B2C" w:rsidP="00267B2C">
      <w:pPr>
        <w:pStyle w:val="Numbered"/>
        <w:keepLines/>
        <w:numPr>
          <w:ilvl w:val="1"/>
          <w:numId w:val="14"/>
        </w:numPr>
        <w:ind w:left="567" w:hanging="567"/>
        <w:outlineLvl w:val="3"/>
      </w:pPr>
      <w:r w:rsidRPr="0029565F">
        <w:t xml:space="preserve">Please also refer to section 6 of the </w:t>
      </w:r>
      <w:r w:rsidR="005D70FF" w:rsidRPr="005D70FF">
        <w:rPr>
          <w:color w:val="0000FF"/>
        </w:rPr>
        <w:t>Supplementary guidance document</w:t>
      </w:r>
      <w:r w:rsidRPr="0029565F" w:rsidDel="000736AF">
        <w:t xml:space="preserve"> </w:t>
      </w:r>
      <w:r w:rsidRPr="0029565F">
        <w:t>for further information.</w:t>
      </w:r>
    </w:p>
    <w:p w14:paraId="4EBB5BEC" w14:textId="77777777" w:rsidR="00FF5F45" w:rsidRPr="0029565F" w:rsidRDefault="00FF5F45" w:rsidP="00113651">
      <w:pPr>
        <w:keepNext/>
        <w:keepLines/>
        <w:numPr>
          <w:ilvl w:val="0"/>
          <w:numId w:val="14"/>
        </w:numPr>
        <w:spacing w:before="120"/>
        <w:ind w:left="357" w:hanging="357"/>
        <w:rPr>
          <w:b/>
        </w:rPr>
      </w:pPr>
      <w:bookmarkStart w:id="43" w:name="_Toc335126850"/>
      <w:r w:rsidRPr="0029565F">
        <w:rPr>
          <w:b/>
        </w:rPr>
        <w:t xml:space="preserve">Accessing the </w:t>
      </w:r>
      <w:r w:rsidR="00E362F7" w:rsidRPr="0029565F">
        <w:rPr>
          <w:b/>
        </w:rPr>
        <w:t>u</w:t>
      </w:r>
      <w:r w:rsidRPr="0029565F">
        <w:rPr>
          <w:b/>
        </w:rPr>
        <w:t xml:space="preserve">pper </w:t>
      </w:r>
      <w:r w:rsidR="00E362F7" w:rsidRPr="0029565F">
        <w:rPr>
          <w:b/>
        </w:rPr>
        <w:t>p</w:t>
      </w:r>
      <w:r w:rsidRPr="0029565F">
        <w:rPr>
          <w:b/>
        </w:rPr>
        <w:t xml:space="preserve">ay </w:t>
      </w:r>
      <w:r w:rsidR="00E362F7" w:rsidRPr="0029565F">
        <w:rPr>
          <w:b/>
        </w:rPr>
        <w:t>r</w:t>
      </w:r>
      <w:r w:rsidRPr="0029565F">
        <w:rPr>
          <w:b/>
        </w:rPr>
        <w:t>ange</w:t>
      </w:r>
    </w:p>
    <w:p w14:paraId="04C25676" w14:textId="41B16817" w:rsidR="00AF717B" w:rsidRPr="00864199" w:rsidRDefault="00B132E0" w:rsidP="00111306">
      <w:pPr>
        <w:pStyle w:val="Numbered"/>
        <w:keepLines/>
        <w:numPr>
          <w:ilvl w:val="1"/>
          <w:numId w:val="14"/>
        </w:numPr>
        <w:ind w:left="567" w:hanging="567"/>
        <w:outlineLvl w:val="3"/>
      </w:pPr>
      <w:r w:rsidRPr="0029565F">
        <w:t>A</w:t>
      </w:r>
      <w:r w:rsidR="00FF5F45" w:rsidRPr="0029565F">
        <w:rPr>
          <w:rFonts w:cs="Arial"/>
        </w:rPr>
        <w:t>ny qualified teacher may apply to be paid on the upper pay range</w:t>
      </w:r>
      <w:r w:rsidR="005C6444" w:rsidRPr="0029565F">
        <w:rPr>
          <w:rFonts w:cs="Arial"/>
        </w:rPr>
        <w:t xml:space="preserve"> at least once a year</w:t>
      </w:r>
      <w:r w:rsidR="00FF5F45" w:rsidRPr="0029565F">
        <w:rPr>
          <w:rFonts w:cs="Arial"/>
        </w:rPr>
        <w:t xml:space="preserve">. </w:t>
      </w:r>
      <w:r w:rsidR="006C3FFF" w:rsidRPr="0029565F">
        <w:rPr>
          <w:rFonts w:cs="Arial"/>
        </w:rPr>
        <w:t>A</w:t>
      </w:r>
      <w:r w:rsidR="00FF5F45" w:rsidRPr="0029565F">
        <w:rPr>
          <w:rFonts w:cs="Arial"/>
        </w:rPr>
        <w:t>pplications should include the results of</w:t>
      </w:r>
      <w:r w:rsidR="00371E95" w:rsidRPr="0029565F">
        <w:rPr>
          <w:rFonts w:cs="Arial"/>
        </w:rPr>
        <w:t xml:space="preserve"> the teacher’s previous</w:t>
      </w:r>
      <w:r w:rsidR="00FF5F45" w:rsidRPr="0029565F">
        <w:rPr>
          <w:rFonts w:cs="Arial"/>
        </w:rPr>
        <w:t xml:space="preserve"> </w:t>
      </w:r>
      <w:r w:rsidR="00371E95" w:rsidRPr="0029565F">
        <w:rPr>
          <w:rFonts w:cs="Arial"/>
        </w:rPr>
        <w:t xml:space="preserve">two consecutive </w:t>
      </w:r>
      <w:r w:rsidR="00FF5F45" w:rsidRPr="0029565F">
        <w:rPr>
          <w:rFonts w:cs="Arial"/>
        </w:rPr>
        <w:t>appraisal</w:t>
      </w:r>
      <w:r w:rsidR="00371E95" w:rsidRPr="0029565F">
        <w:rPr>
          <w:rFonts w:cs="Arial"/>
        </w:rPr>
        <w:t xml:space="preserve"> period</w:t>
      </w:r>
      <w:r w:rsidR="00FF5F45" w:rsidRPr="0029565F">
        <w:rPr>
          <w:rFonts w:cs="Arial"/>
        </w:rPr>
        <w:t>s under the Appraisal Regulations 2012, including any recommendation</w:t>
      </w:r>
      <w:r w:rsidR="00371E95" w:rsidRPr="0029565F">
        <w:rPr>
          <w:rFonts w:cs="Arial"/>
        </w:rPr>
        <w:t>s</w:t>
      </w:r>
      <w:r w:rsidR="00FF5F45" w:rsidRPr="0029565F">
        <w:rPr>
          <w:rFonts w:cs="Arial"/>
        </w:rPr>
        <w:t xml:space="preserve"> on pay. The assessment process will be evidence based to ensure</w:t>
      </w:r>
      <w:r w:rsidR="00EE1551">
        <w:rPr>
          <w:rFonts w:cs="Arial"/>
        </w:rPr>
        <w:t xml:space="preserve"> it is transparent and robust. </w:t>
      </w:r>
      <w:r w:rsidR="00FF5F45" w:rsidRPr="0029565F">
        <w:rPr>
          <w:rFonts w:cs="Arial"/>
        </w:rPr>
        <w:t xml:space="preserve">Teachers should ensure they </w:t>
      </w:r>
      <w:r w:rsidR="001D138C" w:rsidRPr="00864199">
        <w:rPr>
          <w:rFonts w:cs="Arial"/>
        </w:rPr>
        <w:t>have</w:t>
      </w:r>
      <w:r w:rsidR="001D138C">
        <w:rPr>
          <w:rFonts w:cs="Arial"/>
        </w:rPr>
        <w:t xml:space="preserve"> </w:t>
      </w:r>
      <w:r w:rsidR="00FF5F45" w:rsidRPr="0029565F">
        <w:rPr>
          <w:rFonts w:cs="Arial"/>
        </w:rPr>
        <w:t>an evidence base to support their application.</w:t>
      </w:r>
      <w:r w:rsidR="00EE1551">
        <w:rPr>
          <w:rFonts w:cs="Arial"/>
        </w:rPr>
        <w:t xml:space="preserve"> </w:t>
      </w:r>
      <w:r w:rsidR="00164DF5">
        <w:rPr>
          <w:rFonts w:cs="Arial"/>
        </w:rPr>
        <w:t>If a teacher is simultaneously employed at another school(s), they may submit separate applications if they wish to apply to be paid on the uppe</w:t>
      </w:r>
      <w:r w:rsidR="00EE1551">
        <w:rPr>
          <w:rFonts w:cs="Arial"/>
        </w:rPr>
        <w:t xml:space="preserve">r pay range in that school(s). </w:t>
      </w:r>
      <w:r w:rsidR="00164DF5">
        <w:rPr>
          <w:rFonts w:cs="Arial"/>
        </w:rPr>
        <w:t xml:space="preserve">This school will not be bound by any pay </w:t>
      </w:r>
      <w:r w:rsidR="00164DF5" w:rsidRPr="00864199">
        <w:rPr>
          <w:rFonts w:cs="Arial"/>
        </w:rPr>
        <w:t>decision made by another school.</w:t>
      </w:r>
    </w:p>
    <w:p w14:paraId="2E7BABA9" w14:textId="1B03452D" w:rsidR="004675E5" w:rsidRPr="00864199" w:rsidRDefault="00AF717B" w:rsidP="00B84B31">
      <w:pPr>
        <w:pStyle w:val="Numbered"/>
        <w:keepLines/>
        <w:numPr>
          <w:ilvl w:val="1"/>
          <w:numId w:val="14"/>
        </w:numPr>
        <w:tabs>
          <w:tab w:val="num" w:pos="567"/>
        </w:tabs>
        <w:ind w:left="567" w:hanging="567"/>
        <w:outlineLvl w:val="3"/>
        <w:rPr>
          <w:rFonts w:cs="Arial"/>
        </w:rPr>
      </w:pPr>
      <w:r w:rsidRPr="00864199">
        <w:rPr>
          <w:rFonts w:cs="Arial"/>
        </w:rPr>
        <w:t>Teachers may su</w:t>
      </w:r>
      <w:r w:rsidR="00EE1551" w:rsidRPr="00864199">
        <w:rPr>
          <w:rFonts w:cs="Arial"/>
        </w:rPr>
        <w:t xml:space="preserve">bmit one application annually. </w:t>
      </w:r>
      <w:r w:rsidRPr="00864199">
        <w:rPr>
          <w:rFonts w:cs="Arial"/>
        </w:rPr>
        <w:t xml:space="preserve">The closing date for applications is </w:t>
      </w:r>
      <w:r w:rsidR="001550F4">
        <w:rPr>
          <w:rFonts w:cs="Arial"/>
        </w:rPr>
        <w:t>6</w:t>
      </w:r>
      <w:r w:rsidR="001550F4" w:rsidRPr="001550F4">
        <w:rPr>
          <w:rFonts w:cs="Arial"/>
          <w:vertAlign w:val="superscript"/>
        </w:rPr>
        <w:t>th</w:t>
      </w:r>
      <w:r w:rsidR="001550F4">
        <w:rPr>
          <w:rFonts w:cs="Arial"/>
        </w:rPr>
        <w:t xml:space="preserve"> September</w:t>
      </w:r>
      <w:r w:rsidRPr="00864199">
        <w:rPr>
          <w:rFonts w:cs="Arial"/>
        </w:rPr>
        <w:t xml:space="preserve">; however, exceptions will be made in particular circumstances, for example, those teachers on maternity or sick leave. </w:t>
      </w:r>
      <w:r w:rsidR="00ED2F8D" w:rsidRPr="00864199">
        <w:rPr>
          <w:rFonts w:cs="Arial"/>
        </w:rPr>
        <w:t xml:space="preserve">  Please refer to the </w:t>
      </w:r>
      <w:r w:rsidR="00EA50D6" w:rsidRPr="00864199">
        <w:rPr>
          <w:rFonts w:cs="Arial"/>
        </w:rPr>
        <w:t>Equalities considerations as part of the appraisal and pay determination process</w:t>
      </w:r>
      <w:r w:rsidR="00ED2F8D" w:rsidRPr="00864199">
        <w:rPr>
          <w:rFonts w:cs="Arial"/>
        </w:rPr>
        <w:t xml:space="preserve"> – DfE </w:t>
      </w:r>
      <w:r w:rsidR="00EA50D6" w:rsidRPr="00864199">
        <w:rPr>
          <w:rFonts w:cs="Arial"/>
        </w:rPr>
        <w:t xml:space="preserve">June 2014 and Implementing your school’s approach to pay </w:t>
      </w:r>
      <w:r w:rsidR="00ED2F8D" w:rsidRPr="00864199">
        <w:rPr>
          <w:rFonts w:cs="Arial"/>
        </w:rPr>
        <w:t>– March 201</w:t>
      </w:r>
      <w:r w:rsidR="00EA50D6" w:rsidRPr="00864199">
        <w:rPr>
          <w:rFonts w:cs="Arial"/>
        </w:rPr>
        <w:t>9</w:t>
      </w:r>
      <w:r w:rsidR="00ED2F8D" w:rsidRPr="00864199">
        <w:rPr>
          <w:rFonts w:cs="Arial"/>
        </w:rPr>
        <w:t xml:space="preserve"> for further guidance.</w:t>
      </w:r>
      <w:r w:rsidR="00B84B31" w:rsidRPr="00864199">
        <w:rPr>
          <w:rFonts w:cs="Arial"/>
        </w:rPr>
        <w:t xml:space="preserve"> </w:t>
      </w:r>
    </w:p>
    <w:p w14:paraId="59752E1C" w14:textId="1E7F0BAA" w:rsidR="004675E5" w:rsidRPr="0029565F" w:rsidRDefault="00F42E7B" w:rsidP="00B84B31">
      <w:pPr>
        <w:pStyle w:val="Numbered"/>
        <w:keepLines/>
        <w:numPr>
          <w:ilvl w:val="1"/>
          <w:numId w:val="14"/>
        </w:numPr>
        <w:tabs>
          <w:tab w:val="num" w:pos="567"/>
        </w:tabs>
        <w:ind w:left="567" w:hanging="567"/>
        <w:outlineLvl w:val="3"/>
        <w:rPr>
          <w:rFonts w:cs="Arial"/>
        </w:rPr>
      </w:pPr>
      <w:r w:rsidRPr="0029565F">
        <w:rPr>
          <w:rFonts w:cs="Arial"/>
        </w:rPr>
        <w:t>A</w:t>
      </w:r>
      <w:r w:rsidR="004675E5" w:rsidRPr="0029565F">
        <w:rPr>
          <w:rFonts w:cs="Arial"/>
        </w:rPr>
        <w:t xml:space="preserve">pplications will be assessed by the </w:t>
      </w:r>
      <w:r w:rsidR="001550F4">
        <w:rPr>
          <w:rFonts w:cs="Arial"/>
        </w:rPr>
        <w:t xml:space="preserve">executive </w:t>
      </w:r>
      <w:r w:rsidR="004675E5" w:rsidRPr="0029565F">
        <w:rPr>
          <w:rFonts w:cs="Arial"/>
        </w:rPr>
        <w:t>headteacher</w:t>
      </w:r>
      <w:r w:rsidR="001550F4">
        <w:rPr>
          <w:rFonts w:cs="Arial"/>
        </w:rPr>
        <w:t xml:space="preserve">. </w:t>
      </w:r>
      <w:r w:rsidRPr="0029565F">
        <w:rPr>
          <w:rFonts w:cs="Arial"/>
        </w:rPr>
        <w:t xml:space="preserve">The assessor will </w:t>
      </w:r>
      <w:r w:rsidR="004675E5" w:rsidRPr="0029565F">
        <w:rPr>
          <w:rFonts w:cs="Arial"/>
        </w:rPr>
        <w:t xml:space="preserve">make </w:t>
      </w:r>
      <w:r w:rsidRPr="0029565F">
        <w:rPr>
          <w:rFonts w:cs="Arial"/>
        </w:rPr>
        <w:t xml:space="preserve">a recommendation to the </w:t>
      </w:r>
      <w:r w:rsidR="00D01FC0">
        <w:rPr>
          <w:rFonts w:cs="Arial"/>
        </w:rPr>
        <w:t>Governing board</w:t>
      </w:r>
      <w:r w:rsidRPr="0029565F">
        <w:rPr>
          <w:rFonts w:cs="Arial"/>
        </w:rPr>
        <w:t>.</w:t>
      </w:r>
    </w:p>
    <w:p w14:paraId="7F76DF74" w14:textId="77777777" w:rsidR="00AF717B" w:rsidRPr="0029565F" w:rsidRDefault="00AF717B" w:rsidP="00B84B31">
      <w:pPr>
        <w:pStyle w:val="Numbered"/>
        <w:keepLines/>
        <w:numPr>
          <w:ilvl w:val="1"/>
          <w:numId w:val="14"/>
        </w:numPr>
        <w:tabs>
          <w:tab w:val="num" w:pos="567"/>
        </w:tabs>
        <w:ind w:left="567" w:hanging="567"/>
        <w:outlineLvl w:val="3"/>
        <w:rPr>
          <w:rFonts w:cs="Arial"/>
        </w:rPr>
      </w:pPr>
      <w:r w:rsidRPr="0029565F">
        <w:rPr>
          <w:rFonts w:cs="Arial"/>
        </w:rPr>
        <w:t xml:space="preserve">Please </w:t>
      </w:r>
      <w:r w:rsidR="0028672C" w:rsidRPr="0029565F">
        <w:rPr>
          <w:rFonts w:cs="Arial"/>
        </w:rPr>
        <w:t>see</w:t>
      </w:r>
      <w:r w:rsidRPr="0029565F">
        <w:rPr>
          <w:rFonts w:cs="Arial"/>
        </w:rPr>
        <w:t xml:space="preserve"> </w:t>
      </w:r>
      <w:hyperlink w:anchor="_Appendix_E_-" w:history="1">
        <w:r w:rsidRPr="0029565F">
          <w:rPr>
            <w:rStyle w:val="Hyperlink"/>
            <w:rFonts w:cs="Arial"/>
          </w:rPr>
          <w:t xml:space="preserve">Appendix </w:t>
        </w:r>
        <w:r w:rsidR="00507930" w:rsidRPr="0029565F">
          <w:rPr>
            <w:rStyle w:val="Hyperlink"/>
            <w:rFonts w:cs="Arial"/>
          </w:rPr>
          <w:t>D</w:t>
        </w:r>
      </w:hyperlink>
      <w:r w:rsidR="005010AB" w:rsidRPr="0029565F">
        <w:rPr>
          <w:rFonts w:cs="Arial"/>
        </w:rPr>
        <w:t xml:space="preserve"> </w:t>
      </w:r>
      <w:r w:rsidR="004675E5" w:rsidRPr="0029565F">
        <w:rPr>
          <w:rFonts w:cs="Arial"/>
        </w:rPr>
        <w:t>for the a</w:t>
      </w:r>
      <w:r w:rsidRPr="0029565F">
        <w:rPr>
          <w:rFonts w:cs="Arial"/>
        </w:rPr>
        <w:t xml:space="preserve">pplication </w:t>
      </w:r>
      <w:r w:rsidR="004675E5" w:rsidRPr="0029565F">
        <w:rPr>
          <w:rFonts w:cs="Arial"/>
        </w:rPr>
        <w:t xml:space="preserve">form to access the </w:t>
      </w:r>
      <w:r w:rsidRPr="0029565F">
        <w:rPr>
          <w:rFonts w:cs="Arial"/>
        </w:rPr>
        <w:t>Upper Pay Range</w:t>
      </w:r>
      <w:r w:rsidR="004675E5" w:rsidRPr="0029565F">
        <w:rPr>
          <w:rFonts w:cs="Arial"/>
        </w:rPr>
        <w:t>.</w:t>
      </w:r>
    </w:p>
    <w:p w14:paraId="0E676BF1" w14:textId="77777777" w:rsidR="00AF717B" w:rsidRPr="0029565F" w:rsidRDefault="00AF717B" w:rsidP="0020750A">
      <w:pPr>
        <w:pStyle w:val="Numbered"/>
        <w:keepLines/>
        <w:numPr>
          <w:ilvl w:val="1"/>
          <w:numId w:val="14"/>
        </w:numPr>
        <w:tabs>
          <w:tab w:val="num" w:pos="567"/>
        </w:tabs>
        <w:ind w:left="567" w:hanging="567"/>
        <w:outlineLvl w:val="3"/>
        <w:rPr>
          <w:rFonts w:cs="Arial"/>
        </w:rPr>
      </w:pPr>
      <w:r w:rsidRPr="0029565F">
        <w:rPr>
          <w:rFonts w:cs="Arial"/>
        </w:rPr>
        <w:t xml:space="preserve">An application from a qualified teacher will be successful where the </w:t>
      </w:r>
      <w:r w:rsidR="00D01FC0">
        <w:rPr>
          <w:rFonts w:cs="Arial"/>
        </w:rPr>
        <w:t>Governing board</w:t>
      </w:r>
      <w:r w:rsidRPr="0029565F">
        <w:rPr>
          <w:rFonts w:cs="Arial"/>
        </w:rPr>
        <w:t xml:space="preserve"> is satisfied that: </w:t>
      </w:r>
    </w:p>
    <w:p w14:paraId="30A4A756" w14:textId="77777777" w:rsidR="00AF717B" w:rsidRPr="0029565F" w:rsidRDefault="00AF717B" w:rsidP="00606949">
      <w:pPr>
        <w:pStyle w:val="Numbered"/>
        <w:keepLines/>
        <w:numPr>
          <w:ilvl w:val="0"/>
          <w:numId w:val="29"/>
        </w:numPr>
        <w:tabs>
          <w:tab w:val="left" w:pos="1080"/>
        </w:tabs>
        <w:spacing w:after="60"/>
        <w:ind w:left="1080" w:hanging="450"/>
        <w:outlineLvl w:val="3"/>
        <w:rPr>
          <w:rFonts w:cs="Arial"/>
        </w:rPr>
      </w:pPr>
      <w:r w:rsidRPr="0029565F">
        <w:rPr>
          <w:rFonts w:cs="Arial"/>
        </w:rPr>
        <w:t xml:space="preserve">the teacher is highly competent in all elements of the relevant standards; and </w:t>
      </w:r>
    </w:p>
    <w:p w14:paraId="37B45D38" w14:textId="77777777" w:rsidR="00AF717B" w:rsidRPr="0029565F" w:rsidRDefault="00AF717B" w:rsidP="00606949">
      <w:pPr>
        <w:pStyle w:val="Numbered"/>
        <w:keepLines/>
        <w:numPr>
          <w:ilvl w:val="0"/>
          <w:numId w:val="29"/>
        </w:numPr>
        <w:tabs>
          <w:tab w:val="left" w:pos="1080"/>
        </w:tabs>
        <w:ind w:left="1080" w:hanging="450"/>
        <w:outlineLvl w:val="3"/>
        <w:rPr>
          <w:rFonts w:cs="Arial"/>
        </w:rPr>
      </w:pPr>
      <w:r w:rsidRPr="0029565F">
        <w:rPr>
          <w:rFonts w:cs="Arial"/>
        </w:rPr>
        <w:t>the teacher’s achievements and contribution to the school are substantial and sustained.</w:t>
      </w:r>
    </w:p>
    <w:p w14:paraId="1D68F20E" w14:textId="77777777" w:rsidR="005D527A" w:rsidRPr="0029565F" w:rsidRDefault="005D527A" w:rsidP="0020750A">
      <w:pPr>
        <w:pStyle w:val="Numbered"/>
        <w:keepLines/>
        <w:numPr>
          <w:ilvl w:val="1"/>
          <w:numId w:val="14"/>
        </w:numPr>
        <w:tabs>
          <w:tab w:val="num" w:pos="567"/>
        </w:tabs>
        <w:ind w:left="567" w:hanging="567"/>
        <w:outlineLvl w:val="3"/>
        <w:rPr>
          <w:rFonts w:cs="Arial"/>
        </w:rPr>
      </w:pPr>
      <w:r w:rsidRPr="0029565F">
        <w:rPr>
          <w:rFonts w:cs="Arial"/>
        </w:rPr>
        <w:t xml:space="preserve">For the purposes of this pay policy: </w:t>
      </w:r>
    </w:p>
    <w:p w14:paraId="5E1ACC37" w14:textId="3DD89601" w:rsidR="005D527A" w:rsidRPr="0029565F" w:rsidRDefault="005D527A" w:rsidP="00606949">
      <w:pPr>
        <w:pStyle w:val="Default"/>
        <w:numPr>
          <w:ilvl w:val="0"/>
          <w:numId w:val="16"/>
        </w:numPr>
        <w:tabs>
          <w:tab w:val="left" w:pos="1080"/>
        </w:tabs>
        <w:ind w:left="1080" w:hanging="450"/>
        <w:rPr>
          <w:i/>
        </w:rPr>
      </w:pPr>
      <w:r w:rsidRPr="0029565F">
        <w:t>‘highly competent’ means</w:t>
      </w:r>
      <w:r w:rsidR="00012EF4">
        <w:t xml:space="preserve"> </w:t>
      </w:r>
      <w:r w:rsidRPr="0029565F">
        <w:rPr>
          <w:i/>
        </w:rPr>
        <w:t>the teacher’s performance is assessed as having excellent depth and breadth of knowledge, skill and understanding of the Teachers’ Standards in the particular role they are fulfilling and the context in which they are working.</w:t>
      </w:r>
    </w:p>
    <w:p w14:paraId="7483BE56" w14:textId="027F4672" w:rsidR="005D527A" w:rsidRPr="00012EF4" w:rsidRDefault="005D527A" w:rsidP="0077385F">
      <w:pPr>
        <w:pStyle w:val="Default"/>
        <w:numPr>
          <w:ilvl w:val="0"/>
          <w:numId w:val="16"/>
        </w:numPr>
        <w:tabs>
          <w:tab w:val="left" w:pos="1080"/>
        </w:tabs>
        <w:spacing w:after="60"/>
        <w:ind w:left="1080" w:hanging="450"/>
        <w:rPr>
          <w:i/>
          <w:iCs/>
        </w:rPr>
      </w:pPr>
      <w:r w:rsidRPr="0029565F">
        <w:t xml:space="preserve">‘substantial’ means </w:t>
      </w:r>
      <w:r w:rsidRPr="00012EF4">
        <w:rPr>
          <w:i/>
          <w:iCs/>
        </w:rPr>
        <w:t xml:space="preserve">the teacher’s achievements and contribution to the school are significant, not just in raising standards of teaching and learning in their own classroom, or with their own </w:t>
      </w:r>
      <w:r w:rsidR="008E26AC" w:rsidRPr="00012EF4">
        <w:rPr>
          <w:i/>
          <w:iCs/>
        </w:rPr>
        <w:t>groups of children, but also in</w:t>
      </w:r>
      <w:r w:rsidRPr="00012EF4">
        <w:rPr>
          <w:i/>
          <w:iCs/>
        </w:rPr>
        <w:t xml:space="preserve"> making a significant wider contribution to school improvement, which impacts on pupil progress and the effectiveness of staff and colleagues</w:t>
      </w:r>
      <w:r w:rsidRPr="0029565F">
        <w:t>;</w:t>
      </w:r>
    </w:p>
    <w:p w14:paraId="492A6BFA" w14:textId="229EBA1E" w:rsidR="005D527A" w:rsidRPr="0029565F" w:rsidRDefault="005D527A" w:rsidP="00C932FB">
      <w:pPr>
        <w:pStyle w:val="Default"/>
        <w:numPr>
          <w:ilvl w:val="0"/>
          <w:numId w:val="16"/>
        </w:numPr>
        <w:tabs>
          <w:tab w:val="left" w:pos="1080"/>
        </w:tabs>
        <w:spacing w:after="120"/>
        <w:ind w:left="1080" w:hanging="450"/>
      </w:pPr>
      <w:r w:rsidRPr="0029565F">
        <w:t xml:space="preserve">‘sustained’ means </w:t>
      </w:r>
      <w:r w:rsidRPr="00012EF4">
        <w:rPr>
          <w:i/>
          <w:iCs/>
        </w:rPr>
        <w:t>the teacher must have had two successful appraisal reports in this school and have made good progress towards their objectives during this period (see exceptions above</w:t>
      </w:r>
      <w:r w:rsidRPr="0029565F">
        <w:t xml:space="preserve">).  </w:t>
      </w:r>
      <w:r w:rsidRPr="00012EF4">
        <w:rPr>
          <w:i/>
        </w:rPr>
        <w:t>They will have been expected to have shown that their teaching expertise has grown over the relevant period and is consistently good to outstanding.</w:t>
      </w:r>
    </w:p>
    <w:p w14:paraId="7B7D2039" w14:textId="77777777" w:rsidR="00D32C14" w:rsidRPr="0029565F" w:rsidRDefault="00D32C14" w:rsidP="00D32C14">
      <w:pPr>
        <w:pStyle w:val="Numbered"/>
        <w:keepLines/>
        <w:numPr>
          <w:ilvl w:val="1"/>
          <w:numId w:val="14"/>
        </w:numPr>
        <w:tabs>
          <w:tab w:val="num" w:pos="567"/>
        </w:tabs>
        <w:ind w:left="567" w:hanging="567"/>
        <w:outlineLvl w:val="3"/>
      </w:pPr>
      <w:r w:rsidRPr="0029565F">
        <w:t xml:space="preserve">Please also refer to section </w:t>
      </w:r>
      <w:r w:rsidR="00852EE2" w:rsidRPr="0029565F">
        <w:t xml:space="preserve">8 </w:t>
      </w:r>
      <w:r w:rsidRPr="0029565F">
        <w:t xml:space="preserve">of the </w:t>
      </w:r>
      <w:r w:rsidR="005D70FF" w:rsidRPr="005D70FF">
        <w:rPr>
          <w:color w:val="0000FF"/>
        </w:rPr>
        <w:t>Supplementary guidance document</w:t>
      </w:r>
      <w:r w:rsidRPr="0029565F" w:rsidDel="000736AF">
        <w:t xml:space="preserve"> </w:t>
      </w:r>
      <w:r w:rsidRPr="0029565F">
        <w:t>for further information.</w:t>
      </w:r>
    </w:p>
    <w:p w14:paraId="0A4A12B6" w14:textId="77777777" w:rsidR="0020750A" w:rsidRPr="0029565F" w:rsidRDefault="00634081" w:rsidP="0020750A">
      <w:pPr>
        <w:pStyle w:val="Numbered"/>
        <w:keepLines/>
        <w:numPr>
          <w:ilvl w:val="1"/>
          <w:numId w:val="14"/>
        </w:numPr>
        <w:tabs>
          <w:tab w:val="num" w:pos="567"/>
        </w:tabs>
        <w:ind w:left="567" w:hanging="567"/>
        <w:outlineLvl w:val="3"/>
        <w:rPr>
          <w:rFonts w:cs="Arial"/>
        </w:rPr>
      </w:pPr>
      <w:r w:rsidRPr="0029565F">
        <w:rPr>
          <w:rFonts w:cs="Arial"/>
        </w:rPr>
        <w:t xml:space="preserve">If the </w:t>
      </w:r>
      <w:r w:rsidR="00D01FC0">
        <w:rPr>
          <w:rFonts w:cs="Arial"/>
        </w:rPr>
        <w:t>Governing board</w:t>
      </w:r>
      <w:r w:rsidRPr="0029565F">
        <w:rPr>
          <w:rFonts w:cs="Arial"/>
        </w:rPr>
        <w:t xml:space="preserve"> decides not to allow a teacher to progress to the upper pay </w:t>
      </w:r>
      <w:r w:rsidR="00671CFF" w:rsidRPr="0029565F">
        <w:rPr>
          <w:rFonts w:cs="Arial"/>
        </w:rPr>
        <w:t>range</w:t>
      </w:r>
      <w:r w:rsidRPr="0029565F">
        <w:rPr>
          <w:rFonts w:cs="Arial"/>
        </w:rPr>
        <w:t xml:space="preserve">, the teacher may </w:t>
      </w:r>
      <w:r w:rsidR="005D527A" w:rsidRPr="0029565F">
        <w:rPr>
          <w:rFonts w:cs="Arial"/>
        </w:rPr>
        <w:t xml:space="preserve">appeal </w:t>
      </w:r>
      <w:r w:rsidRPr="0029565F">
        <w:rPr>
          <w:rFonts w:cs="Arial"/>
        </w:rPr>
        <w:t>that</w:t>
      </w:r>
      <w:r w:rsidR="005D527A" w:rsidRPr="0029565F">
        <w:rPr>
          <w:rFonts w:cs="Arial"/>
        </w:rPr>
        <w:t xml:space="preserve"> decision. </w:t>
      </w:r>
      <w:r w:rsidR="00121F5B" w:rsidRPr="0029565F">
        <w:rPr>
          <w:rFonts w:cs="Arial"/>
        </w:rPr>
        <w:t xml:space="preserve"> </w:t>
      </w:r>
    </w:p>
    <w:p w14:paraId="56BC8816" w14:textId="77777777" w:rsidR="00456FB5" w:rsidRPr="0029565F" w:rsidRDefault="00ED0F35" w:rsidP="00671CFF">
      <w:pPr>
        <w:pStyle w:val="Numbered"/>
        <w:keepLines/>
        <w:numPr>
          <w:ilvl w:val="1"/>
          <w:numId w:val="14"/>
        </w:numPr>
        <w:tabs>
          <w:tab w:val="num" w:pos="567"/>
        </w:tabs>
        <w:ind w:left="567" w:hanging="567"/>
        <w:outlineLvl w:val="3"/>
      </w:pPr>
      <w:r w:rsidRPr="0029565F">
        <w:rPr>
          <w:rFonts w:cs="Arial"/>
        </w:rPr>
        <w:t xml:space="preserve">Please </w:t>
      </w:r>
      <w:r w:rsidR="0028672C" w:rsidRPr="0029565F">
        <w:rPr>
          <w:rFonts w:cs="Arial"/>
        </w:rPr>
        <w:t>see</w:t>
      </w:r>
      <w:r w:rsidR="00D55D9E">
        <w:rPr>
          <w:rFonts w:cs="Arial"/>
        </w:rPr>
        <w:t xml:space="preserve"> </w:t>
      </w:r>
      <w:hyperlink w:anchor="_Appendix_E_–" w:history="1">
        <w:r w:rsidRPr="0029565F">
          <w:rPr>
            <w:rStyle w:val="Hyperlink"/>
            <w:rFonts w:cs="Arial"/>
          </w:rPr>
          <w:t>Appendix E</w:t>
        </w:r>
      </w:hyperlink>
      <w:r w:rsidRPr="0029565F">
        <w:rPr>
          <w:rFonts w:cs="Arial"/>
        </w:rPr>
        <w:t xml:space="preserve"> for details of Teacher </w:t>
      </w:r>
      <w:r w:rsidR="003406BF" w:rsidRPr="0029565F">
        <w:rPr>
          <w:rFonts w:cs="Arial"/>
        </w:rPr>
        <w:t>p</w:t>
      </w:r>
      <w:r w:rsidRPr="0029565F">
        <w:rPr>
          <w:rFonts w:cs="Arial"/>
        </w:rPr>
        <w:t xml:space="preserve">ay </w:t>
      </w:r>
      <w:r w:rsidR="003406BF" w:rsidRPr="0029565F">
        <w:rPr>
          <w:rFonts w:cs="Arial"/>
        </w:rPr>
        <w:t>h</w:t>
      </w:r>
      <w:r w:rsidRPr="0029565F">
        <w:rPr>
          <w:rFonts w:cs="Arial"/>
        </w:rPr>
        <w:t xml:space="preserve">earings and </w:t>
      </w:r>
      <w:r w:rsidR="003406BF" w:rsidRPr="0029565F">
        <w:rPr>
          <w:rFonts w:cs="Arial"/>
        </w:rPr>
        <w:t>a</w:t>
      </w:r>
      <w:r w:rsidRPr="0029565F">
        <w:rPr>
          <w:rFonts w:cs="Arial"/>
        </w:rPr>
        <w:t>ppeals.</w:t>
      </w:r>
    </w:p>
    <w:p w14:paraId="19BDA822" w14:textId="77777777" w:rsidR="00CD6FDF" w:rsidRPr="0029565F" w:rsidRDefault="00CD6FDF" w:rsidP="00CD6FDF">
      <w:pPr>
        <w:pStyle w:val="Heading2"/>
        <w:keepLines/>
      </w:pPr>
      <w:bookmarkStart w:id="44" w:name="_Toc54700381"/>
      <w:r w:rsidRPr="0029565F">
        <w:t>Leading practitioners</w:t>
      </w:r>
      <w:bookmarkEnd w:id="44"/>
    </w:p>
    <w:p w14:paraId="673FA2E3" w14:textId="13E6F586" w:rsidR="00DA3743" w:rsidRPr="00012EF4" w:rsidRDefault="00012EF4" w:rsidP="00012EF4">
      <w:pPr>
        <w:keepNext/>
        <w:keepLines/>
        <w:numPr>
          <w:ilvl w:val="0"/>
          <w:numId w:val="14"/>
        </w:numPr>
        <w:spacing w:before="120"/>
        <w:ind w:left="357" w:hanging="357"/>
        <w:rPr>
          <w:b/>
        </w:rPr>
      </w:pPr>
      <w:r>
        <w:rPr>
          <w:b/>
        </w:rPr>
        <w:t>During 2020-21 the Skylark Federation will not have leading practitioners</w:t>
      </w:r>
    </w:p>
    <w:p w14:paraId="36DADCF1" w14:textId="77777777" w:rsidR="00CD6FDF" w:rsidRPr="0029565F" w:rsidRDefault="00CD6FDF" w:rsidP="00CD6FDF">
      <w:pPr>
        <w:pStyle w:val="Heading2"/>
        <w:keepLines/>
      </w:pPr>
      <w:bookmarkStart w:id="45" w:name="_Toc54700382"/>
      <w:r w:rsidRPr="0029565F">
        <w:t>Unqualified pay range for teachers</w:t>
      </w:r>
      <w:bookmarkEnd w:id="45"/>
    </w:p>
    <w:p w14:paraId="055AE305" w14:textId="77777777" w:rsidR="004A0484" w:rsidRPr="0029565F" w:rsidRDefault="004A0484" w:rsidP="00676B2E">
      <w:pPr>
        <w:keepNext/>
        <w:keepLines/>
        <w:numPr>
          <w:ilvl w:val="0"/>
          <w:numId w:val="14"/>
        </w:numPr>
        <w:spacing w:before="120"/>
        <w:ind w:left="357" w:hanging="357"/>
        <w:rPr>
          <w:b/>
        </w:rPr>
      </w:pPr>
      <w:r w:rsidRPr="0029565F">
        <w:rPr>
          <w:b/>
        </w:rPr>
        <w:t xml:space="preserve">Unqualified </w:t>
      </w:r>
      <w:r w:rsidR="007A2194" w:rsidRPr="0029565F">
        <w:rPr>
          <w:b/>
        </w:rPr>
        <w:t>t</w:t>
      </w:r>
      <w:r w:rsidRPr="0029565F">
        <w:rPr>
          <w:b/>
        </w:rPr>
        <w:t xml:space="preserve">eachers </w:t>
      </w:r>
    </w:p>
    <w:p w14:paraId="0AC3E5A6" w14:textId="77777777" w:rsidR="004A0484" w:rsidRPr="0029565F" w:rsidRDefault="004A0484" w:rsidP="0028672C">
      <w:pPr>
        <w:pStyle w:val="Numbered"/>
        <w:keepNext/>
        <w:keepLines/>
        <w:numPr>
          <w:ilvl w:val="1"/>
          <w:numId w:val="14"/>
        </w:numPr>
        <w:ind w:left="567" w:hanging="567"/>
        <w:outlineLvl w:val="3"/>
        <w:rPr>
          <w:rFonts w:cs="Arial"/>
        </w:rPr>
      </w:pPr>
      <w:r w:rsidRPr="0029565F">
        <w:rPr>
          <w:rFonts w:cs="Arial"/>
        </w:rPr>
        <w:t xml:space="preserve">An unqualified teacher will be paid such salary on the </w:t>
      </w:r>
      <w:r w:rsidR="00ED0F35" w:rsidRPr="0029565F">
        <w:rPr>
          <w:rFonts w:cs="Arial"/>
        </w:rPr>
        <w:t>r</w:t>
      </w:r>
      <w:r w:rsidRPr="0029565F">
        <w:rPr>
          <w:rFonts w:cs="Arial"/>
        </w:rPr>
        <w:t xml:space="preserve">eference </w:t>
      </w:r>
      <w:r w:rsidR="00ED0F35" w:rsidRPr="0029565F">
        <w:rPr>
          <w:rFonts w:cs="Arial"/>
        </w:rPr>
        <w:t>p</w:t>
      </w:r>
      <w:r w:rsidRPr="0029565F">
        <w:rPr>
          <w:rFonts w:cs="Arial"/>
        </w:rPr>
        <w:t xml:space="preserve">oints set within the minimum and maximum of the unqualified pay range below as the </w:t>
      </w:r>
      <w:r w:rsidR="00D01FC0">
        <w:rPr>
          <w:rFonts w:cs="Arial"/>
        </w:rPr>
        <w:t>Governing board</w:t>
      </w:r>
      <w:r w:rsidRPr="0029565F">
        <w:rPr>
          <w:rFonts w:cs="Arial"/>
        </w:rPr>
        <w:t xml:space="preserve"> determines:</w:t>
      </w:r>
      <w:r w:rsidR="0028672C" w:rsidRPr="0029565F">
        <w:rPr>
          <w:rFonts w:cs="Arial"/>
        </w:rPr>
        <w:t xml:space="preserve"> </w:t>
      </w:r>
    </w:p>
    <w:tbl>
      <w:tblPr>
        <w:tblpPr w:leftFromText="180" w:rightFromText="180" w:vertAnchor="text" w:tblpXSpec="center"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735"/>
        <w:gridCol w:w="1953"/>
      </w:tblGrid>
      <w:tr w:rsidR="004A0484" w:rsidRPr="0029565F" w14:paraId="7D883B89" w14:textId="77777777" w:rsidTr="00EE1551">
        <w:trPr>
          <w:cantSplit/>
        </w:trPr>
        <w:tc>
          <w:tcPr>
            <w:tcW w:w="5688" w:type="dxa"/>
            <w:gridSpan w:val="2"/>
          </w:tcPr>
          <w:p w14:paraId="184DD8F0" w14:textId="497406CA" w:rsidR="004A0484" w:rsidRPr="0029565F" w:rsidRDefault="004A0484" w:rsidP="00EE1551">
            <w:pPr>
              <w:keepNext/>
              <w:keepLines/>
              <w:spacing w:before="60" w:after="60"/>
              <w:jc w:val="center"/>
              <w:rPr>
                <w:rFonts w:cs="Arial"/>
                <w:b/>
              </w:rPr>
            </w:pPr>
            <w:r w:rsidRPr="0029565F">
              <w:rPr>
                <w:rFonts w:cs="Arial"/>
                <w:b/>
              </w:rPr>
              <w:t xml:space="preserve">Pay Range for Unqualified Teachers </w:t>
            </w:r>
            <w:r w:rsidR="00DE05EC" w:rsidRPr="0029565F">
              <w:rPr>
                <w:rFonts w:cs="Arial"/>
                <w:b/>
              </w:rPr>
              <w:t>20</w:t>
            </w:r>
            <w:r w:rsidR="003D2891">
              <w:rPr>
                <w:rFonts w:cs="Arial"/>
                <w:b/>
              </w:rPr>
              <w:t>20/21</w:t>
            </w:r>
          </w:p>
        </w:tc>
      </w:tr>
      <w:tr w:rsidR="005B7863" w:rsidRPr="0029565F" w14:paraId="76067C0D" w14:textId="77777777" w:rsidTr="00EE1551">
        <w:trPr>
          <w:cantSplit/>
        </w:trPr>
        <w:tc>
          <w:tcPr>
            <w:tcW w:w="3735" w:type="dxa"/>
          </w:tcPr>
          <w:p w14:paraId="6E60FA7E" w14:textId="77777777" w:rsidR="005B7863" w:rsidRPr="0029565F" w:rsidRDefault="005B7863" w:rsidP="00EE1551">
            <w:pPr>
              <w:keepNext/>
              <w:keepLines/>
              <w:spacing w:before="60" w:after="60"/>
              <w:jc w:val="right"/>
              <w:rPr>
                <w:rFonts w:cs="Arial"/>
              </w:rPr>
            </w:pPr>
            <w:r w:rsidRPr="0029565F">
              <w:rPr>
                <w:rFonts w:cs="Arial"/>
                <w:b/>
              </w:rPr>
              <w:t>Minimum</w:t>
            </w:r>
            <w:r w:rsidRPr="0029565F">
              <w:rPr>
                <w:rFonts w:cs="Arial"/>
              </w:rPr>
              <w:t xml:space="preserve"> Reference Point 1</w:t>
            </w:r>
          </w:p>
        </w:tc>
        <w:tc>
          <w:tcPr>
            <w:tcW w:w="1953" w:type="dxa"/>
          </w:tcPr>
          <w:p w14:paraId="19769A34" w14:textId="711F27B1" w:rsidR="005B7863" w:rsidRPr="0029565F" w:rsidRDefault="002270A4" w:rsidP="00EE1551">
            <w:pPr>
              <w:keepNext/>
              <w:keepLines/>
              <w:spacing w:before="60" w:after="60"/>
              <w:jc w:val="center"/>
              <w:rPr>
                <w:rFonts w:cs="Arial"/>
              </w:rPr>
            </w:pPr>
            <w:r>
              <w:rPr>
                <w:rFonts w:cs="Arial"/>
              </w:rPr>
              <w:t>£</w:t>
            </w:r>
            <w:r w:rsidR="003D2891">
              <w:rPr>
                <w:rFonts w:cs="Arial"/>
              </w:rPr>
              <w:t>18,169</w:t>
            </w:r>
          </w:p>
        </w:tc>
      </w:tr>
      <w:tr w:rsidR="005B7863" w:rsidRPr="0029565F" w14:paraId="34177CE3" w14:textId="77777777" w:rsidTr="00EE1551">
        <w:trPr>
          <w:cantSplit/>
        </w:trPr>
        <w:tc>
          <w:tcPr>
            <w:tcW w:w="3735" w:type="dxa"/>
          </w:tcPr>
          <w:p w14:paraId="71D203A5" w14:textId="77777777" w:rsidR="005B7863" w:rsidRPr="0029565F" w:rsidRDefault="005B7863" w:rsidP="00EE1551">
            <w:pPr>
              <w:keepNext/>
              <w:keepLines/>
              <w:spacing w:before="60" w:after="60"/>
              <w:jc w:val="right"/>
              <w:rPr>
                <w:rFonts w:cs="Arial"/>
              </w:rPr>
            </w:pPr>
            <w:r w:rsidRPr="0029565F">
              <w:rPr>
                <w:rFonts w:cs="Arial"/>
              </w:rPr>
              <w:t>Reference Point 2</w:t>
            </w:r>
          </w:p>
        </w:tc>
        <w:tc>
          <w:tcPr>
            <w:tcW w:w="1953" w:type="dxa"/>
          </w:tcPr>
          <w:p w14:paraId="20E2B3C6" w14:textId="5CFD93B5" w:rsidR="005B7863" w:rsidRPr="0029565F" w:rsidRDefault="002270A4" w:rsidP="00EE1551">
            <w:pPr>
              <w:keepNext/>
              <w:keepLines/>
              <w:spacing w:before="60" w:after="60"/>
              <w:jc w:val="center"/>
              <w:rPr>
                <w:rFonts w:cs="Arial"/>
              </w:rPr>
            </w:pPr>
            <w:r>
              <w:rPr>
                <w:rFonts w:cs="Arial"/>
              </w:rPr>
              <w:t>£</w:t>
            </w:r>
            <w:r w:rsidR="003D2891">
              <w:rPr>
                <w:rFonts w:cs="Arial"/>
              </w:rPr>
              <w:t>20,282</w:t>
            </w:r>
          </w:p>
        </w:tc>
      </w:tr>
      <w:tr w:rsidR="005B7863" w:rsidRPr="0029565F" w14:paraId="47C97876" w14:textId="77777777" w:rsidTr="00EE1551">
        <w:trPr>
          <w:cantSplit/>
        </w:trPr>
        <w:tc>
          <w:tcPr>
            <w:tcW w:w="3735" w:type="dxa"/>
          </w:tcPr>
          <w:p w14:paraId="041ECEA9" w14:textId="77777777" w:rsidR="005B7863" w:rsidRPr="0029565F" w:rsidRDefault="005B7863" w:rsidP="00EE1551">
            <w:pPr>
              <w:keepNext/>
              <w:keepLines/>
              <w:spacing w:before="60" w:after="60"/>
              <w:jc w:val="right"/>
              <w:rPr>
                <w:rFonts w:cs="Arial"/>
              </w:rPr>
            </w:pPr>
            <w:r w:rsidRPr="0029565F">
              <w:rPr>
                <w:rFonts w:cs="Arial"/>
              </w:rPr>
              <w:t>Reference Point 3</w:t>
            </w:r>
          </w:p>
        </w:tc>
        <w:tc>
          <w:tcPr>
            <w:tcW w:w="1953" w:type="dxa"/>
          </w:tcPr>
          <w:p w14:paraId="2CEAD3BB" w14:textId="71DCD1A3" w:rsidR="005B7863" w:rsidRPr="0029565F" w:rsidRDefault="002270A4" w:rsidP="00EE1551">
            <w:pPr>
              <w:keepNext/>
              <w:keepLines/>
              <w:spacing w:before="60" w:after="60"/>
              <w:jc w:val="center"/>
              <w:rPr>
                <w:rFonts w:cs="Arial"/>
              </w:rPr>
            </w:pPr>
            <w:r>
              <w:rPr>
                <w:rFonts w:cs="Arial"/>
              </w:rPr>
              <w:t>£</w:t>
            </w:r>
            <w:r w:rsidR="003D2891">
              <w:rPr>
                <w:rFonts w:cs="Arial"/>
              </w:rPr>
              <w:t>22,394</w:t>
            </w:r>
          </w:p>
        </w:tc>
      </w:tr>
      <w:tr w:rsidR="005B7863" w:rsidRPr="0029565F" w14:paraId="15A9B6BE" w14:textId="77777777" w:rsidTr="00EE1551">
        <w:trPr>
          <w:cantSplit/>
        </w:trPr>
        <w:tc>
          <w:tcPr>
            <w:tcW w:w="3735" w:type="dxa"/>
          </w:tcPr>
          <w:p w14:paraId="171F244E" w14:textId="77777777" w:rsidR="005B7863" w:rsidRPr="0029565F" w:rsidRDefault="005B7863" w:rsidP="00EE1551">
            <w:pPr>
              <w:keepNext/>
              <w:keepLines/>
              <w:spacing w:before="60" w:after="60"/>
              <w:jc w:val="right"/>
              <w:rPr>
                <w:rFonts w:cs="Arial"/>
              </w:rPr>
            </w:pPr>
            <w:r w:rsidRPr="0029565F">
              <w:rPr>
                <w:rFonts w:cs="Arial"/>
              </w:rPr>
              <w:t>Reference Point 4</w:t>
            </w:r>
          </w:p>
        </w:tc>
        <w:tc>
          <w:tcPr>
            <w:tcW w:w="1953" w:type="dxa"/>
          </w:tcPr>
          <w:p w14:paraId="20C08B38" w14:textId="0F5E179D" w:rsidR="005B7863" w:rsidRPr="0029565F" w:rsidRDefault="002270A4" w:rsidP="00EE1551">
            <w:pPr>
              <w:keepNext/>
              <w:keepLines/>
              <w:spacing w:before="60" w:after="60"/>
              <w:jc w:val="center"/>
              <w:rPr>
                <w:rFonts w:cs="Arial"/>
              </w:rPr>
            </w:pPr>
            <w:r>
              <w:rPr>
                <w:rFonts w:cs="Arial"/>
              </w:rPr>
              <w:t>£</w:t>
            </w:r>
            <w:r w:rsidR="003D2891">
              <w:rPr>
                <w:rFonts w:cs="Arial"/>
              </w:rPr>
              <w:t>24,507</w:t>
            </w:r>
          </w:p>
        </w:tc>
      </w:tr>
      <w:tr w:rsidR="005B7863" w:rsidRPr="0029565F" w14:paraId="6464B414" w14:textId="77777777" w:rsidTr="00EE1551">
        <w:trPr>
          <w:cantSplit/>
        </w:trPr>
        <w:tc>
          <w:tcPr>
            <w:tcW w:w="3735" w:type="dxa"/>
          </w:tcPr>
          <w:p w14:paraId="2AD450DF" w14:textId="77777777" w:rsidR="005B7863" w:rsidRPr="0029565F" w:rsidRDefault="005B7863" w:rsidP="00EE1551">
            <w:pPr>
              <w:keepNext/>
              <w:keepLines/>
              <w:spacing w:before="60" w:after="60"/>
              <w:jc w:val="right"/>
              <w:rPr>
                <w:rFonts w:cs="Arial"/>
              </w:rPr>
            </w:pPr>
            <w:r w:rsidRPr="0029565F">
              <w:rPr>
                <w:rFonts w:cs="Arial"/>
              </w:rPr>
              <w:t>Reference Point 5</w:t>
            </w:r>
          </w:p>
        </w:tc>
        <w:tc>
          <w:tcPr>
            <w:tcW w:w="1953" w:type="dxa"/>
          </w:tcPr>
          <w:p w14:paraId="2E2F372E" w14:textId="0A8FD8A2" w:rsidR="005B7863" w:rsidRPr="0029565F" w:rsidRDefault="002270A4" w:rsidP="00EE1551">
            <w:pPr>
              <w:keepNext/>
              <w:keepLines/>
              <w:spacing w:before="60" w:after="60"/>
              <w:jc w:val="center"/>
              <w:rPr>
                <w:rFonts w:cs="Arial"/>
              </w:rPr>
            </w:pPr>
            <w:r>
              <w:rPr>
                <w:rFonts w:cs="Arial"/>
              </w:rPr>
              <w:t>£</w:t>
            </w:r>
            <w:r w:rsidR="003D2891">
              <w:rPr>
                <w:rFonts w:cs="Arial"/>
              </w:rPr>
              <w:t>26,622</w:t>
            </w:r>
          </w:p>
        </w:tc>
      </w:tr>
      <w:tr w:rsidR="005B7863" w:rsidRPr="0029565F" w14:paraId="178F248E" w14:textId="77777777" w:rsidTr="00EE1551">
        <w:trPr>
          <w:cantSplit/>
        </w:trPr>
        <w:tc>
          <w:tcPr>
            <w:tcW w:w="3735" w:type="dxa"/>
          </w:tcPr>
          <w:p w14:paraId="065D5157" w14:textId="77777777" w:rsidR="005B7863" w:rsidRPr="0029565F" w:rsidRDefault="005B7863" w:rsidP="00EE1551">
            <w:pPr>
              <w:keepLines/>
              <w:spacing w:before="60" w:after="60"/>
              <w:jc w:val="right"/>
              <w:rPr>
                <w:rFonts w:cs="Arial"/>
              </w:rPr>
            </w:pPr>
            <w:r w:rsidRPr="0029565F">
              <w:rPr>
                <w:rFonts w:cs="Arial"/>
                <w:b/>
              </w:rPr>
              <w:t>Maximum</w:t>
            </w:r>
            <w:r w:rsidRPr="0029565F">
              <w:rPr>
                <w:rFonts w:cs="Arial"/>
              </w:rPr>
              <w:t xml:space="preserve"> Reference Point 6</w:t>
            </w:r>
          </w:p>
        </w:tc>
        <w:tc>
          <w:tcPr>
            <w:tcW w:w="1953" w:type="dxa"/>
          </w:tcPr>
          <w:p w14:paraId="45062390" w14:textId="27A5BC53" w:rsidR="005B7863" w:rsidRPr="0029565F" w:rsidRDefault="002270A4" w:rsidP="00EE1551">
            <w:pPr>
              <w:keepLines/>
              <w:spacing w:before="60" w:after="60"/>
              <w:jc w:val="center"/>
              <w:rPr>
                <w:rFonts w:cs="Arial"/>
              </w:rPr>
            </w:pPr>
            <w:r>
              <w:rPr>
                <w:rFonts w:cs="Arial"/>
              </w:rPr>
              <w:t>£</w:t>
            </w:r>
            <w:r w:rsidR="003D2891">
              <w:rPr>
                <w:rFonts w:cs="Arial"/>
              </w:rPr>
              <w:t>28,735</w:t>
            </w:r>
          </w:p>
        </w:tc>
      </w:tr>
    </w:tbl>
    <w:p w14:paraId="697A1BDF" w14:textId="77777777" w:rsidR="00507930" w:rsidRDefault="00507930" w:rsidP="004A0484">
      <w:pPr>
        <w:pStyle w:val="Numbered"/>
        <w:keepLines/>
        <w:spacing w:after="0"/>
        <w:outlineLvl w:val="3"/>
        <w:rPr>
          <w:rFonts w:cs="Arial"/>
        </w:rPr>
      </w:pPr>
    </w:p>
    <w:p w14:paraId="0C8C3460" w14:textId="15C2DE12" w:rsidR="002B5C59" w:rsidRDefault="002B5C59" w:rsidP="004A0484">
      <w:pPr>
        <w:pStyle w:val="Numbered"/>
        <w:keepLines/>
        <w:spacing w:after="0"/>
        <w:outlineLvl w:val="3"/>
        <w:rPr>
          <w:rFonts w:cs="Arial"/>
        </w:rPr>
      </w:pPr>
    </w:p>
    <w:p w14:paraId="6FCE0F9C" w14:textId="4F39C0EB" w:rsidR="00C612C7" w:rsidRDefault="00C612C7" w:rsidP="004A0484">
      <w:pPr>
        <w:pStyle w:val="Numbered"/>
        <w:keepLines/>
        <w:spacing w:after="0"/>
        <w:outlineLvl w:val="3"/>
        <w:rPr>
          <w:rFonts w:cs="Arial"/>
        </w:rPr>
      </w:pPr>
    </w:p>
    <w:p w14:paraId="75AACAEA" w14:textId="34376127" w:rsidR="00C612C7" w:rsidRDefault="00C612C7" w:rsidP="004A0484">
      <w:pPr>
        <w:pStyle w:val="Numbered"/>
        <w:keepLines/>
        <w:spacing w:after="0"/>
        <w:outlineLvl w:val="3"/>
        <w:rPr>
          <w:rFonts w:cs="Arial"/>
        </w:rPr>
      </w:pPr>
    </w:p>
    <w:p w14:paraId="4B96EF9B" w14:textId="7872F05C" w:rsidR="00C612C7" w:rsidRDefault="00C612C7" w:rsidP="004A0484">
      <w:pPr>
        <w:pStyle w:val="Numbered"/>
        <w:keepLines/>
        <w:spacing w:after="0"/>
        <w:outlineLvl w:val="3"/>
        <w:rPr>
          <w:rFonts w:cs="Arial"/>
        </w:rPr>
      </w:pPr>
    </w:p>
    <w:p w14:paraId="6C7BFE91" w14:textId="6BE1F855" w:rsidR="00C612C7" w:rsidRDefault="00C612C7" w:rsidP="004A0484">
      <w:pPr>
        <w:pStyle w:val="Numbered"/>
        <w:keepLines/>
        <w:spacing w:after="0"/>
        <w:outlineLvl w:val="3"/>
        <w:rPr>
          <w:rFonts w:cs="Arial"/>
        </w:rPr>
      </w:pPr>
    </w:p>
    <w:p w14:paraId="5700D83A" w14:textId="567412F1" w:rsidR="00C612C7" w:rsidRDefault="00C612C7" w:rsidP="004A0484">
      <w:pPr>
        <w:pStyle w:val="Numbered"/>
        <w:keepLines/>
        <w:spacing w:after="0"/>
        <w:outlineLvl w:val="3"/>
        <w:rPr>
          <w:rFonts w:cs="Arial"/>
        </w:rPr>
      </w:pPr>
    </w:p>
    <w:p w14:paraId="3E079AA4" w14:textId="44C45F6B" w:rsidR="00C612C7" w:rsidRDefault="00C612C7" w:rsidP="004A0484">
      <w:pPr>
        <w:pStyle w:val="Numbered"/>
        <w:keepLines/>
        <w:spacing w:after="0"/>
        <w:outlineLvl w:val="3"/>
        <w:rPr>
          <w:rFonts w:cs="Arial"/>
        </w:rPr>
      </w:pPr>
    </w:p>
    <w:p w14:paraId="3C8D5D8B" w14:textId="164A76E3" w:rsidR="00C612C7" w:rsidRDefault="00C612C7" w:rsidP="004A0484">
      <w:pPr>
        <w:pStyle w:val="Numbered"/>
        <w:keepLines/>
        <w:spacing w:after="0"/>
        <w:outlineLvl w:val="3"/>
        <w:rPr>
          <w:rFonts w:cs="Arial"/>
        </w:rPr>
      </w:pPr>
    </w:p>
    <w:p w14:paraId="41BFB0B1" w14:textId="77777777" w:rsidR="00C612C7" w:rsidRDefault="00C612C7" w:rsidP="004A0484">
      <w:pPr>
        <w:pStyle w:val="Numbered"/>
        <w:keepLines/>
        <w:spacing w:after="0"/>
        <w:outlineLvl w:val="3"/>
        <w:rPr>
          <w:rFonts w:cs="Arial"/>
        </w:rPr>
      </w:pPr>
    </w:p>
    <w:p w14:paraId="79C1EBBD" w14:textId="77777777" w:rsidR="002B5C59" w:rsidRPr="0029565F" w:rsidRDefault="002B5C59" w:rsidP="004A0484">
      <w:pPr>
        <w:pStyle w:val="Numbered"/>
        <w:keepLines/>
        <w:spacing w:after="0"/>
        <w:outlineLvl w:val="3"/>
        <w:rPr>
          <w:rFonts w:cs="Arial"/>
        </w:rPr>
      </w:pPr>
    </w:p>
    <w:p w14:paraId="1F7D9997" w14:textId="77777777" w:rsidR="00671437" w:rsidRPr="0029565F" w:rsidRDefault="00671437" w:rsidP="00EE1551">
      <w:pPr>
        <w:pStyle w:val="Numbered"/>
        <w:keepLines/>
        <w:numPr>
          <w:ilvl w:val="1"/>
          <w:numId w:val="14"/>
        </w:numPr>
        <w:tabs>
          <w:tab w:val="num" w:pos="567"/>
        </w:tabs>
        <w:spacing w:before="120"/>
        <w:ind w:left="562" w:hanging="562"/>
        <w:outlineLvl w:val="3"/>
        <w:rPr>
          <w:rFonts w:cs="Arial"/>
        </w:rPr>
      </w:pPr>
      <w:r w:rsidRPr="0029565F">
        <w:rPr>
          <w:rFonts w:cs="Arial"/>
        </w:rPr>
        <w:t>There will be increasing expectation as a teacher progresses up the unqualified pay range and appraisal objectives will become more challenging to reflect such progression.</w:t>
      </w:r>
    </w:p>
    <w:p w14:paraId="3079E6EF" w14:textId="77777777" w:rsidR="00671437" w:rsidRPr="0029565F" w:rsidRDefault="00671437" w:rsidP="00EE1551">
      <w:pPr>
        <w:pStyle w:val="Numbered"/>
        <w:keepLines/>
        <w:numPr>
          <w:ilvl w:val="1"/>
          <w:numId w:val="14"/>
        </w:numPr>
        <w:tabs>
          <w:tab w:val="num" w:pos="567"/>
        </w:tabs>
        <w:spacing w:before="120"/>
        <w:ind w:left="562" w:hanging="562"/>
        <w:outlineLvl w:val="3"/>
        <w:rPr>
          <w:rFonts w:cs="Arial"/>
        </w:rPr>
      </w:pPr>
      <w:r w:rsidRPr="0029565F">
        <w:rPr>
          <w:rFonts w:cs="Arial"/>
        </w:rPr>
        <w:t>In order to progress by</w:t>
      </w:r>
      <w:r w:rsidR="00267B2C" w:rsidRPr="0029565F">
        <w:rPr>
          <w:rFonts w:cs="Arial"/>
        </w:rPr>
        <w:t xml:space="preserve"> one reference point annually, </w:t>
      </w:r>
      <w:r w:rsidRPr="0029565F">
        <w:rPr>
          <w:rFonts w:cs="Arial"/>
        </w:rPr>
        <w:t>unqualified teachers will need to have met their objectives</w:t>
      </w:r>
      <w:r w:rsidR="00C1682A" w:rsidRPr="0029565F">
        <w:rPr>
          <w:rFonts w:cs="Arial"/>
        </w:rPr>
        <w:t>. Teaching and learning should be consistently good as defined by Ofsted.</w:t>
      </w:r>
    </w:p>
    <w:p w14:paraId="4F9D37B0" w14:textId="77777777" w:rsidR="00671437" w:rsidRPr="0029565F" w:rsidRDefault="00671437" w:rsidP="00EE1551">
      <w:pPr>
        <w:pStyle w:val="Numbered"/>
        <w:keepLines/>
        <w:numPr>
          <w:ilvl w:val="1"/>
          <w:numId w:val="14"/>
        </w:numPr>
        <w:tabs>
          <w:tab w:val="num" w:pos="567"/>
        </w:tabs>
        <w:spacing w:before="120"/>
        <w:ind w:left="562" w:hanging="562"/>
        <w:outlineLvl w:val="3"/>
        <w:rPr>
          <w:rFonts w:cs="Arial"/>
        </w:rPr>
      </w:pPr>
      <w:r w:rsidRPr="0029565F">
        <w:rPr>
          <w:rFonts w:cs="Arial"/>
        </w:rPr>
        <w:t>Partial achievement of objectives will only be considered in respect of pay progression in exceptional circumstances.</w:t>
      </w:r>
    </w:p>
    <w:p w14:paraId="5D6E451C" w14:textId="77777777" w:rsidR="00671437" w:rsidRPr="0029565F" w:rsidRDefault="00671437" w:rsidP="00EE1551">
      <w:pPr>
        <w:pStyle w:val="Numbered"/>
        <w:keepLines/>
        <w:numPr>
          <w:ilvl w:val="1"/>
          <w:numId w:val="14"/>
        </w:numPr>
        <w:tabs>
          <w:tab w:val="num" w:pos="567"/>
        </w:tabs>
        <w:spacing w:before="120"/>
        <w:ind w:left="562" w:hanging="562"/>
        <w:outlineLvl w:val="3"/>
        <w:rPr>
          <w:rFonts w:cs="Arial"/>
        </w:rPr>
      </w:pPr>
      <w:r w:rsidRPr="0029565F">
        <w:rPr>
          <w:rFonts w:cs="Arial"/>
        </w:rPr>
        <w:t xml:space="preserve">In exceptional cases, additional points up to the maximum of the </w:t>
      </w:r>
      <w:r w:rsidR="00C1682A" w:rsidRPr="0029565F">
        <w:rPr>
          <w:rFonts w:cs="Arial"/>
        </w:rPr>
        <w:t>unqualified teacher</w:t>
      </w:r>
      <w:r w:rsidRPr="0029565F">
        <w:rPr>
          <w:rFonts w:cs="Arial"/>
        </w:rPr>
        <w:t xml:space="preserve"> pay range may be awarded.</w:t>
      </w:r>
    </w:p>
    <w:p w14:paraId="6A5E2BC5" w14:textId="71D22939" w:rsidR="004A0484" w:rsidRPr="0029565F" w:rsidRDefault="00846023" w:rsidP="00EE1551">
      <w:pPr>
        <w:pStyle w:val="Numbered"/>
        <w:keepNext/>
        <w:keepLines/>
        <w:numPr>
          <w:ilvl w:val="1"/>
          <w:numId w:val="14"/>
        </w:numPr>
        <w:tabs>
          <w:tab w:val="num" w:pos="567"/>
        </w:tabs>
        <w:spacing w:before="120"/>
        <w:ind w:left="562" w:hanging="562"/>
        <w:outlineLvl w:val="3"/>
        <w:rPr>
          <w:rFonts w:cs="Arial"/>
        </w:rPr>
      </w:pPr>
      <w:r w:rsidRPr="0029565F">
        <w:rPr>
          <w:rFonts w:cs="Arial"/>
        </w:rPr>
        <w:t xml:space="preserve">In accordance with paragraph </w:t>
      </w:r>
      <w:r w:rsidR="00333D7D" w:rsidRPr="0029565F">
        <w:rPr>
          <w:rFonts w:cs="Arial"/>
        </w:rPr>
        <w:t>22.1</w:t>
      </w:r>
      <w:r w:rsidRPr="0029565F">
        <w:rPr>
          <w:rFonts w:cs="Arial"/>
        </w:rPr>
        <w:t xml:space="preserve"> of the STPCD</w:t>
      </w:r>
      <w:r w:rsidR="00333D7D" w:rsidRPr="0029565F">
        <w:rPr>
          <w:rFonts w:cs="Arial"/>
        </w:rPr>
        <w:t xml:space="preserve"> 20</w:t>
      </w:r>
      <w:r w:rsidR="003D2891">
        <w:rPr>
          <w:rFonts w:cs="Arial"/>
        </w:rPr>
        <w:t>20</w:t>
      </w:r>
      <w:r w:rsidRPr="0029565F">
        <w:rPr>
          <w:rFonts w:cs="Arial"/>
        </w:rPr>
        <w:t>, t</w:t>
      </w:r>
      <w:r w:rsidR="004A0484" w:rsidRPr="0029565F">
        <w:rPr>
          <w:rFonts w:cs="Arial"/>
        </w:rPr>
        <w:t xml:space="preserve">he </w:t>
      </w:r>
      <w:r w:rsidR="00D01FC0">
        <w:rPr>
          <w:rFonts w:cs="Arial"/>
        </w:rPr>
        <w:t>Governing board</w:t>
      </w:r>
      <w:r w:rsidR="004A0484" w:rsidRPr="0029565F">
        <w:rPr>
          <w:rFonts w:cs="Arial"/>
        </w:rPr>
        <w:t xml:space="preserve"> will consider paying an additional allowance to an </w:t>
      </w:r>
      <w:r w:rsidR="00333D7D" w:rsidRPr="0029565F">
        <w:rPr>
          <w:rFonts w:cs="Arial"/>
        </w:rPr>
        <w:t>unqualified teacher if the teacher has either</w:t>
      </w:r>
      <w:r w:rsidR="004A0484" w:rsidRPr="0029565F">
        <w:rPr>
          <w:rFonts w:cs="Arial"/>
        </w:rPr>
        <w:t>:</w:t>
      </w:r>
    </w:p>
    <w:p w14:paraId="39C21449" w14:textId="77777777" w:rsidR="004A0484" w:rsidRPr="0029565F" w:rsidRDefault="004A0484" w:rsidP="00F12974">
      <w:pPr>
        <w:pStyle w:val="Numbered"/>
        <w:keepNext/>
        <w:keepLines/>
        <w:numPr>
          <w:ilvl w:val="2"/>
          <w:numId w:val="14"/>
        </w:numPr>
        <w:spacing w:after="60"/>
        <w:outlineLvl w:val="3"/>
        <w:rPr>
          <w:rFonts w:cs="Arial"/>
        </w:rPr>
      </w:pPr>
      <w:r w:rsidRPr="0029565F">
        <w:rPr>
          <w:rFonts w:cs="Arial"/>
        </w:rPr>
        <w:t>a sustained additional responsibility which is focused on teaching and learning, and requires the exercise of a teacher’s professional skills and judgement; or</w:t>
      </w:r>
    </w:p>
    <w:p w14:paraId="659107B0" w14:textId="77777777" w:rsidR="00671437" w:rsidRPr="0029565F" w:rsidRDefault="004A0484" w:rsidP="00C1682A">
      <w:pPr>
        <w:pStyle w:val="Numbered"/>
        <w:keepLines/>
        <w:numPr>
          <w:ilvl w:val="2"/>
          <w:numId w:val="14"/>
        </w:numPr>
        <w:outlineLvl w:val="3"/>
        <w:rPr>
          <w:rFonts w:cs="Arial"/>
        </w:rPr>
      </w:pPr>
      <w:r w:rsidRPr="0029565F">
        <w:rPr>
          <w:rFonts w:cs="Arial"/>
        </w:rPr>
        <w:t>relevant qualifications or experience which bring added value to the role they are undertaking.</w:t>
      </w:r>
    </w:p>
    <w:p w14:paraId="07E0DC9C" w14:textId="118629DF" w:rsidR="00852EE2" w:rsidRPr="0029565F" w:rsidRDefault="00852EE2" w:rsidP="00852EE2">
      <w:pPr>
        <w:pStyle w:val="Numbered"/>
        <w:keepLines/>
        <w:numPr>
          <w:ilvl w:val="1"/>
          <w:numId w:val="14"/>
        </w:numPr>
        <w:ind w:left="567" w:hanging="567"/>
        <w:outlineLvl w:val="3"/>
      </w:pPr>
      <w:r w:rsidRPr="0029565F">
        <w:t>Please also refer to section</w:t>
      </w:r>
      <w:r w:rsidR="00267B2C" w:rsidRPr="0029565F">
        <w:t>s</w:t>
      </w:r>
      <w:r w:rsidRPr="0029565F">
        <w:t xml:space="preserve"> </w:t>
      </w:r>
      <w:r w:rsidR="00267B2C" w:rsidRPr="0029565F">
        <w:t xml:space="preserve">6 and </w:t>
      </w:r>
      <w:r w:rsidRPr="0029565F">
        <w:t xml:space="preserve">10 of the </w:t>
      </w:r>
      <w:r w:rsidR="005D70FF" w:rsidRPr="005D70FF">
        <w:rPr>
          <w:color w:val="0000FF"/>
        </w:rPr>
        <w:t xml:space="preserve">Supplementary guidance document </w:t>
      </w:r>
      <w:r w:rsidRPr="0029565F">
        <w:t>for further information.</w:t>
      </w:r>
    </w:p>
    <w:p w14:paraId="587BEED7" w14:textId="77777777" w:rsidR="004A0484" w:rsidRPr="0029565F" w:rsidRDefault="004A0484" w:rsidP="00676B2E">
      <w:pPr>
        <w:keepNext/>
        <w:keepLines/>
        <w:numPr>
          <w:ilvl w:val="0"/>
          <w:numId w:val="14"/>
        </w:numPr>
        <w:spacing w:before="120"/>
        <w:ind w:left="357" w:hanging="357"/>
        <w:rPr>
          <w:b/>
        </w:rPr>
      </w:pPr>
      <w:r w:rsidRPr="0029565F">
        <w:rPr>
          <w:b/>
        </w:rPr>
        <w:t xml:space="preserve">An </w:t>
      </w:r>
      <w:r w:rsidR="0028672C" w:rsidRPr="0029565F">
        <w:rPr>
          <w:b/>
        </w:rPr>
        <w:t>u</w:t>
      </w:r>
      <w:r w:rsidRPr="0029565F">
        <w:rPr>
          <w:b/>
        </w:rPr>
        <w:t xml:space="preserve">nqualified </w:t>
      </w:r>
      <w:r w:rsidR="00600490" w:rsidRPr="0029565F">
        <w:rPr>
          <w:b/>
        </w:rPr>
        <w:t>t</w:t>
      </w:r>
      <w:r w:rsidRPr="0029565F">
        <w:rPr>
          <w:b/>
        </w:rPr>
        <w:t xml:space="preserve">eacher who becomes </w:t>
      </w:r>
      <w:r w:rsidR="00600490" w:rsidRPr="0029565F">
        <w:rPr>
          <w:b/>
        </w:rPr>
        <w:t>q</w:t>
      </w:r>
      <w:r w:rsidRPr="0029565F">
        <w:rPr>
          <w:b/>
        </w:rPr>
        <w:t>ualified</w:t>
      </w:r>
    </w:p>
    <w:p w14:paraId="2586815A" w14:textId="77777777" w:rsidR="004A0484" w:rsidRPr="0029565F" w:rsidRDefault="004A0484" w:rsidP="00EE1551">
      <w:pPr>
        <w:pStyle w:val="Numbered"/>
        <w:keepLines/>
        <w:numPr>
          <w:ilvl w:val="1"/>
          <w:numId w:val="14"/>
        </w:numPr>
        <w:tabs>
          <w:tab w:val="num" w:pos="567"/>
        </w:tabs>
        <w:spacing w:before="120"/>
        <w:ind w:left="562" w:hanging="562"/>
        <w:outlineLvl w:val="3"/>
        <w:rPr>
          <w:rFonts w:cs="Arial"/>
        </w:rPr>
      </w:pPr>
      <w:r w:rsidRPr="0029565F">
        <w:rPr>
          <w:rFonts w:cs="Arial"/>
        </w:rPr>
        <w:t xml:space="preserve">On obtaining QTS, </w:t>
      </w:r>
      <w:r w:rsidR="00872060" w:rsidRPr="0029565F">
        <w:rPr>
          <w:rFonts w:cs="Arial"/>
        </w:rPr>
        <w:t xml:space="preserve">an unqualified teacher must be transferred to a salary within the main pay range. </w:t>
      </w:r>
      <w:r w:rsidRPr="0029565F">
        <w:rPr>
          <w:rFonts w:cs="Arial"/>
        </w:rPr>
        <w:t>Where the teacher continues to be employed by the same school within which they were employed before they obtained QTS</w:t>
      </w:r>
      <w:r w:rsidR="00872060" w:rsidRPr="0029565F">
        <w:rPr>
          <w:rFonts w:cs="Arial"/>
        </w:rPr>
        <w:t>,</w:t>
      </w:r>
      <w:r w:rsidRPr="0029565F">
        <w:rPr>
          <w:rFonts w:cs="Arial"/>
        </w:rPr>
        <w:t xml:space="preserve"> the teacher will be paid a salary which is the same as or higher than their salary </w:t>
      </w:r>
      <w:r w:rsidR="00872060" w:rsidRPr="0029565F">
        <w:rPr>
          <w:rFonts w:cs="Arial"/>
        </w:rPr>
        <w:t>as an unqualified teacher</w:t>
      </w:r>
      <w:r w:rsidRPr="0029565F">
        <w:rPr>
          <w:rFonts w:cs="Arial"/>
        </w:rPr>
        <w:t>.</w:t>
      </w:r>
    </w:p>
    <w:p w14:paraId="341D2BF8" w14:textId="77777777" w:rsidR="008E7CC3" w:rsidRPr="008E7CC3" w:rsidRDefault="004A0484" w:rsidP="00EE1551">
      <w:pPr>
        <w:pStyle w:val="Numbered"/>
        <w:keepLines/>
        <w:numPr>
          <w:ilvl w:val="1"/>
          <w:numId w:val="14"/>
        </w:numPr>
        <w:spacing w:before="120"/>
        <w:ind w:left="562" w:hanging="562"/>
        <w:outlineLvl w:val="3"/>
        <w:rPr>
          <w:rFonts w:cs="Arial"/>
        </w:rPr>
      </w:pPr>
      <w:r w:rsidRPr="0029565F">
        <w:rPr>
          <w:rFonts w:cs="Arial"/>
        </w:rPr>
        <w:t xml:space="preserve">An </w:t>
      </w:r>
      <w:r w:rsidR="00872060" w:rsidRPr="0029565F">
        <w:rPr>
          <w:rFonts w:cs="Arial"/>
        </w:rPr>
        <w:t xml:space="preserve">unqualified teacher </w:t>
      </w:r>
      <w:r w:rsidRPr="0029565F">
        <w:rPr>
          <w:rFonts w:cs="Arial"/>
        </w:rPr>
        <w:t xml:space="preserve">who obtains qualified teacher status retrospectively will be paid a lump sum representing the difference (if any) between the remuneration the teacher was actually paid as an </w:t>
      </w:r>
      <w:r w:rsidR="00872060" w:rsidRPr="0029565F">
        <w:rPr>
          <w:rFonts w:cs="Arial"/>
        </w:rPr>
        <w:t xml:space="preserve">unqualified teacher </w:t>
      </w:r>
      <w:r w:rsidRPr="0029565F">
        <w:rPr>
          <w:rFonts w:cs="Arial"/>
        </w:rPr>
        <w:t xml:space="preserve">and the salary (not including any allowances) the </w:t>
      </w:r>
      <w:r w:rsidR="00872060" w:rsidRPr="0029565F">
        <w:rPr>
          <w:rFonts w:cs="Arial"/>
        </w:rPr>
        <w:t xml:space="preserve">unqualified teacher </w:t>
      </w:r>
      <w:r w:rsidRPr="0029565F">
        <w:rPr>
          <w:rFonts w:cs="Arial"/>
        </w:rPr>
        <w:t>would have been paid as a qualified teacher, from the date qualified teacher status was effectively obtained to the date when the lump sum is paid.</w:t>
      </w:r>
    </w:p>
    <w:p w14:paraId="5E2C8D80" w14:textId="77777777" w:rsidR="004A0484" w:rsidRPr="0029565F" w:rsidRDefault="004A0484" w:rsidP="00676B2E">
      <w:pPr>
        <w:keepNext/>
        <w:keepLines/>
        <w:numPr>
          <w:ilvl w:val="0"/>
          <w:numId w:val="14"/>
        </w:numPr>
        <w:spacing w:before="120"/>
        <w:ind w:left="357" w:hanging="357"/>
        <w:rPr>
          <w:b/>
        </w:rPr>
      </w:pPr>
      <w:r w:rsidRPr="0029565F">
        <w:rPr>
          <w:b/>
        </w:rPr>
        <w:t>Qualified Teacher Learning &amp; Skills Status (QTLS)</w:t>
      </w:r>
    </w:p>
    <w:p w14:paraId="6E3D617B" w14:textId="5E1A1467" w:rsidR="00EE1551" w:rsidRDefault="004A0484" w:rsidP="00EE1551">
      <w:pPr>
        <w:pStyle w:val="Numbered"/>
        <w:keepLines/>
        <w:numPr>
          <w:ilvl w:val="1"/>
          <w:numId w:val="14"/>
        </w:numPr>
        <w:spacing w:before="120"/>
        <w:ind w:left="562" w:hanging="562"/>
        <w:outlineLvl w:val="3"/>
        <w:rPr>
          <w:rFonts w:cs="Arial"/>
        </w:rPr>
      </w:pPr>
      <w:r w:rsidRPr="0029565F">
        <w:rPr>
          <w:rFonts w:cs="Arial"/>
        </w:rPr>
        <w:t xml:space="preserve">Since 1 April 2012, teachers </w:t>
      </w:r>
      <w:r w:rsidR="0036002F">
        <w:rPr>
          <w:rFonts w:cs="Arial"/>
        </w:rPr>
        <w:t xml:space="preserve">and trainers within the further education sector </w:t>
      </w:r>
      <w:r w:rsidRPr="0029565F">
        <w:rPr>
          <w:rFonts w:cs="Arial"/>
        </w:rPr>
        <w:t xml:space="preserve">who have been awarded QTLS by the </w:t>
      </w:r>
      <w:r w:rsidR="0036002F">
        <w:rPr>
          <w:rFonts w:cs="Arial"/>
        </w:rPr>
        <w:t xml:space="preserve">Society for Education and Training (SET) formerly the </w:t>
      </w:r>
      <w:r w:rsidRPr="0029565F">
        <w:rPr>
          <w:rFonts w:cs="Arial"/>
        </w:rPr>
        <w:t>Institute for Learning (I</w:t>
      </w:r>
      <w:r w:rsidR="00C612C7">
        <w:rPr>
          <w:rFonts w:cs="Arial"/>
        </w:rPr>
        <w:t>FL</w:t>
      </w:r>
      <w:r w:rsidRPr="0029565F">
        <w:rPr>
          <w:rFonts w:cs="Arial"/>
        </w:rPr>
        <w:t xml:space="preserve">) and are members of </w:t>
      </w:r>
      <w:r w:rsidR="0036002F">
        <w:rPr>
          <w:rFonts w:cs="Arial"/>
        </w:rPr>
        <w:t>SET</w:t>
      </w:r>
      <w:r w:rsidRPr="0029565F">
        <w:rPr>
          <w:rFonts w:cs="Arial"/>
        </w:rPr>
        <w:t xml:space="preserve"> are recognised as qualified teachers in schools. This will allow them to be appointed to permanent posts in maintained schools </w:t>
      </w:r>
      <w:r w:rsidR="00987693">
        <w:rPr>
          <w:rFonts w:cs="Arial"/>
        </w:rPr>
        <w:t xml:space="preserve">to teach any age range that the schools </w:t>
      </w:r>
      <w:r w:rsidR="00C612C7">
        <w:rPr>
          <w:rFonts w:cs="Arial"/>
        </w:rPr>
        <w:t>deem</w:t>
      </w:r>
      <w:r w:rsidR="00987693">
        <w:rPr>
          <w:rFonts w:cs="Arial"/>
        </w:rPr>
        <w:t xml:space="preserve"> appropriate based on their qualifications and experience </w:t>
      </w:r>
      <w:r w:rsidRPr="0029565F">
        <w:rPr>
          <w:rFonts w:cs="Arial"/>
        </w:rPr>
        <w:t>and they will be paid on the qualified teachers’ pay range (main or upper).</w:t>
      </w:r>
    </w:p>
    <w:p w14:paraId="43D1A0CC" w14:textId="77777777" w:rsidR="00EE1551" w:rsidRDefault="00987693" w:rsidP="00EE1551">
      <w:pPr>
        <w:pStyle w:val="Numbered"/>
        <w:keepLines/>
        <w:numPr>
          <w:ilvl w:val="1"/>
          <w:numId w:val="14"/>
        </w:numPr>
        <w:spacing w:before="120"/>
        <w:ind w:left="562" w:hanging="562"/>
        <w:outlineLvl w:val="3"/>
        <w:rPr>
          <w:rFonts w:cs="Arial"/>
        </w:rPr>
      </w:pPr>
      <w:r w:rsidRPr="00EE1551">
        <w:rPr>
          <w:rFonts w:cs="Arial"/>
        </w:rPr>
        <w:t>A QTLS teacher is not required to undertake statutory induction</w:t>
      </w:r>
      <w:r w:rsidR="00D01FC0" w:rsidRPr="00EE1551">
        <w:rPr>
          <w:rFonts w:cs="Arial"/>
        </w:rPr>
        <w:t>.</w:t>
      </w:r>
      <w:r w:rsidR="00BE2E35" w:rsidRPr="00EE1551">
        <w:rPr>
          <w:rFonts w:cs="Arial"/>
        </w:rPr>
        <w:t xml:space="preserve"> </w:t>
      </w:r>
      <w:r w:rsidR="00000D63" w:rsidRPr="00EE1551">
        <w:rPr>
          <w:rFonts w:cs="Arial"/>
        </w:rPr>
        <w:t>S</w:t>
      </w:r>
      <w:r w:rsidR="00BE2E35" w:rsidRPr="00EE1551">
        <w:rPr>
          <w:rFonts w:cs="Arial"/>
        </w:rPr>
        <w:t xml:space="preserve">chools </w:t>
      </w:r>
      <w:r w:rsidR="00000D63" w:rsidRPr="00EE1551">
        <w:rPr>
          <w:rFonts w:cs="Arial"/>
        </w:rPr>
        <w:t>have the</w:t>
      </w:r>
      <w:r w:rsidR="00BE2E35" w:rsidRPr="00EE1551">
        <w:rPr>
          <w:rFonts w:cs="Arial"/>
        </w:rPr>
        <w:t xml:space="preserve"> flexibility to choose the standards against which they wish to assess the performance of QTLS holders. QTLS teachers, unlike other teachers, don't have to be assessed against the Teachers' Standards.</w:t>
      </w:r>
    </w:p>
    <w:p w14:paraId="5C12885A" w14:textId="461DA628" w:rsidR="0036002F" w:rsidRPr="00EE1551" w:rsidRDefault="004A0484" w:rsidP="00EE1551">
      <w:pPr>
        <w:pStyle w:val="Numbered"/>
        <w:keepLines/>
        <w:numPr>
          <w:ilvl w:val="1"/>
          <w:numId w:val="14"/>
        </w:numPr>
        <w:spacing w:before="120"/>
        <w:ind w:left="562" w:hanging="562"/>
        <w:outlineLvl w:val="3"/>
        <w:rPr>
          <w:rFonts w:cs="Arial"/>
        </w:rPr>
      </w:pPr>
      <w:r w:rsidRPr="00EE1551">
        <w:rPr>
          <w:rFonts w:cs="Arial"/>
        </w:rPr>
        <w:t xml:space="preserve">They will continue to be recognised as qualified school teachers </w:t>
      </w:r>
      <w:r w:rsidR="00D21385" w:rsidRPr="00EE1551">
        <w:rPr>
          <w:rFonts w:cs="Arial"/>
        </w:rPr>
        <w:t>providing,</w:t>
      </w:r>
      <w:r w:rsidR="00D1228A" w:rsidRPr="00EE1551">
        <w:rPr>
          <w:rFonts w:cs="Arial"/>
        </w:rPr>
        <w:t xml:space="preserve"> they remain a member of </w:t>
      </w:r>
      <w:r w:rsidR="0036002F" w:rsidRPr="00EE1551">
        <w:rPr>
          <w:rFonts w:cs="Arial"/>
        </w:rPr>
        <w:t>SET. Members of SET who have QTLS status will appear on the QTLS register. Those whose membership lapses for any reason will be removed from the QTLS register and will not be entitled to hold a position working in a school as a qualified teacher. Membership must be r</w:t>
      </w:r>
      <w:r w:rsidR="00EE1551">
        <w:rPr>
          <w:rFonts w:cs="Arial"/>
        </w:rPr>
        <w:t>enewed annually by the teacher.</w:t>
      </w:r>
      <w:r w:rsidR="0036002F" w:rsidRPr="00EE1551">
        <w:rPr>
          <w:rFonts w:cs="Arial"/>
        </w:rPr>
        <w:t xml:space="preserve"> </w:t>
      </w:r>
      <w:r w:rsidR="00987693" w:rsidRPr="00EE1551">
        <w:rPr>
          <w:rFonts w:cs="Arial"/>
        </w:rPr>
        <w:t>The membership year operates from 31 March to 1</w:t>
      </w:r>
      <w:r w:rsidR="00987693" w:rsidRPr="00EE1551">
        <w:rPr>
          <w:rFonts w:cs="Arial"/>
          <w:vertAlign w:val="superscript"/>
        </w:rPr>
        <w:t>st</w:t>
      </w:r>
      <w:r w:rsidR="00987693" w:rsidRPr="00EE1551">
        <w:rPr>
          <w:rFonts w:cs="Arial"/>
        </w:rPr>
        <w:t xml:space="preserve"> April. Further information is available from the </w:t>
      </w:r>
      <w:hyperlink r:id="rId29" w:history="1">
        <w:r w:rsidR="00987693" w:rsidRPr="00EE1551">
          <w:rPr>
            <w:rStyle w:val="Hyperlink"/>
            <w:rFonts w:cs="Arial"/>
          </w:rPr>
          <w:t>SET website</w:t>
        </w:r>
      </w:hyperlink>
      <w:r w:rsidR="00EE1551">
        <w:rPr>
          <w:rFonts w:cs="Arial"/>
        </w:rPr>
        <w:t>.</w:t>
      </w:r>
      <w:r w:rsidR="00987693" w:rsidRPr="00EE1551">
        <w:rPr>
          <w:rFonts w:cs="Arial"/>
        </w:rPr>
        <w:t xml:space="preserve"> </w:t>
      </w:r>
    </w:p>
    <w:p w14:paraId="4E05C128" w14:textId="77777777" w:rsidR="004A0484" w:rsidRPr="00EE1551" w:rsidRDefault="0036002F" w:rsidP="00EE1551">
      <w:pPr>
        <w:pStyle w:val="Numbered"/>
        <w:keepLines/>
        <w:numPr>
          <w:ilvl w:val="1"/>
          <w:numId w:val="14"/>
        </w:numPr>
        <w:spacing w:before="120"/>
        <w:ind w:left="562" w:hanging="562"/>
        <w:outlineLvl w:val="3"/>
        <w:rPr>
          <w:rFonts w:cs="Arial"/>
        </w:rPr>
      </w:pPr>
      <w:r>
        <w:rPr>
          <w:rFonts w:cs="Arial"/>
        </w:rPr>
        <w:t xml:space="preserve">The employing school is responsible for ensuring </w:t>
      </w:r>
      <w:r w:rsidR="00987693">
        <w:rPr>
          <w:rFonts w:cs="Arial"/>
        </w:rPr>
        <w:t xml:space="preserve">on an </w:t>
      </w:r>
      <w:r w:rsidR="00987693" w:rsidRPr="00EE1551">
        <w:rPr>
          <w:rFonts w:cs="Arial"/>
        </w:rPr>
        <w:t>annual basis</w:t>
      </w:r>
      <w:r w:rsidR="00987693">
        <w:rPr>
          <w:rFonts w:cs="Arial"/>
        </w:rPr>
        <w:t xml:space="preserve"> </w:t>
      </w:r>
      <w:r>
        <w:rPr>
          <w:rFonts w:cs="Arial"/>
        </w:rPr>
        <w:t xml:space="preserve">that any teacher employed and paid on the same terms and conditions of employment as a teacher with QTS on the basis of the award of the QTLS qualification and membership </w:t>
      </w:r>
      <w:r w:rsidR="00987693">
        <w:rPr>
          <w:rFonts w:cs="Arial"/>
        </w:rPr>
        <w:t>is still a member of SET by checking the SET Professional Register, and for written confirmation from the teacher that they have complied with these requirements.</w:t>
      </w:r>
    </w:p>
    <w:p w14:paraId="4DCFFAEA" w14:textId="77777777" w:rsidR="00CD6FDF" w:rsidRPr="0029565F" w:rsidRDefault="00EA682D" w:rsidP="00CD6FDF">
      <w:pPr>
        <w:pStyle w:val="Heading2"/>
        <w:keepLines/>
      </w:pPr>
      <w:bookmarkStart w:id="46" w:name="_Toc54700383"/>
      <w:r w:rsidRPr="0029565F">
        <w:t>Part time and supply teachers</w:t>
      </w:r>
      <w:bookmarkEnd w:id="46"/>
    </w:p>
    <w:p w14:paraId="3ED9C59D" w14:textId="77777777" w:rsidR="004A0484" w:rsidRPr="0029565F" w:rsidRDefault="00EA682D" w:rsidP="00676B2E">
      <w:pPr>
        <w:keepNext/>
        <w:keepLines/>
        <w:numPr>
          <w:ilvl w:val="0"/>
          <w:numId w:val="14"/>
        </w:numPr>
        <w:spacing w:before="120"/>
        <w:ind w:left="357" w:hanging="357"/>
        <w:rPr>
          <w:b/>
        </w:rPr>
      </w:pPr>
      <w:r w:rsidRPr="0029565F">
        <w:rPr>
          <w:b/>
        </w:rPr>
        <w:t>Part time t</w:t>
      </w:r>
      <w:r w:rsidR="004A0484" w:rsidRPr="0029565F">
        <w:rPr>
          <w:b/>
        </w:rPr>
        <w:t>eachers</w:t>
      </w:r>
    </w:p>
    <w:p w14:paraId="437EF35F" w14:textId="77777777" w:rsidR="004A0484" w:rsidRPr="0029565F" w:rsidRDefault="004A0484" w:rsidP="00E17A84">
      <w:pPr>
        <w:pStyle w:val="Numbered"/>
        <w:keepLines/>
        <w:numPr>
          <w:ilvl w:val="1"/>
          <w:numId w:val="14"/>
        </w:numPr>
        <w:tabs>
          <w:tab w:val="num" w:pos="567"/>
        </w:tabs>
        <w:ind w:left="567" w:hanging="567"/>
        <w:outlineLvl w:val="3"/>
        <w:rPr>
          <w:rFonts w:cs="Arial"/>
        </w:rPr>
      </w:pPr>
      <w:r w:rsidRPr="0029565F">
        <w:rPr>
          <w:rFonts w:cs="Arial"/>
        </w:rPr>
        <w:t xml:space="preserve">Teachers employed on an ongoing basis at the school but who work less than a full working week are deemed to be part-time. The </w:t>
      </w:r>
      <w:r w:rsidR="00D01FC0">
        <w:rPr>
          <w:rFonts w:cs="Arial"/>
        </w:rPr>
        <w:t>Governing board</w:t>
      </w:r>
      <w:r w:rsidRPr="0029565F">
        <w:rPr>
          <w:rFonts w:cs="Arial"/>
        </w:rPr>
        <w:t xml:space="preserve"> will give them a written statement detailing their working time obligations and the standard mechanism used to determine their pay, subject to the provisions of the statutory pay and working time arrangements and by comparison with the school’s timetabled teaching week for a full-time teacher in an equivalent post. </w:t>
      </w:r>
    </w:p>
    <w:p w14:paraId="784B6D75" w14:textId="77777777" w:rsidR="009B30B3" w:rsidRPr="0029565F" w:rsidRDefault="009B30B3" w:rsidP="00E17A84">
      <w:pPr>
        <w:pStyle w:val="Numbered"/>
        <w:keepLines/>
        <w:numPr>
          <w:ilvl w:val="1"/>
          <w:numId w:val="14"/>
        </w:numPr>
        <w:tabs>
          <w:tab w:val="num" w:pos="567"/>
        </w:tabs>
        <w:ind w:left="567" w:hanging="567"/>
        <w:outlineLvl w:val="3"/>
        <w:rPr>
          <w:rFonts w:cs="Arial"/>
        </w:rPr>
      </w:pPr>
      <w:r w:rsidRPr="0029565F">
        <w:t>The salary and any allowances, except for TLR3s, of a part-time teacher must be determined in accordance with the pro rata principle.</w:t>
      </w:r>
    </w:p>
    <w:p w14:paraId="00B31B91" w14:textId="77777777" w:rsidR="004A0484" w:rsidRPr="0029565F" w:rsidRDefault="00EA682D" w:rsidP="00676B2E">
      <w:pPr>
        <w:keepNext/>
        <w:keepLines/>
        <w:numPr>
          <w:ilvl w:val="0"/>
          <w:numId w:val="14"/>
        </w:numPr>
        <w:spacing w:before="120"/>
        <w:ind w:left="357" w:hanging="357"/>
        <w:rPr>
          <w:b/>
        </w:rPr>
      </w:pPr>
      <w:r w:rsidRPr="0029565F">
        <w:rPr>
          <w:b/>
        </w:rPr>
        <w:t>Short notice / supply t</w:t>
      </w:r>
      <w:r w:rsidR="004A0484" w:rsidRPr="0029565F">
        <w:rPr>
          <w:b/>
        </w:rPr>
        <w:t>eachers</w:t>
      </w:r>
    </w:p>
    <w:p w14:paraId="7235391A" w14:textId="77777777" w:rsidR="004A0484" w:rsidRPr="0029565F" w:rsidRDefault="004A0484" w:rsidP="00E17A84">
      <w:pPr>
        <w:pStyle w:val="Numbered"/>
        <w:keepLines/>
        <w:numPr>
          <w:ilvl w:val="1"/>
          <w:numId w:val="14"/>
        </w:numPr>
        <w:tabs>
          <w:tab w:val="num" w:pos="567"/>
        </w:tabs>
        <w:ind w:left="567" w:hanging="567"/>
        <w:outlineLvl w:val="3"/>
        <w:rPr>
          <w:rFonts w:cs="Arial"/>
        </w:rPr>
      </w:pPr>
      <w:r w:rsidRPr="0029565F">
        <w:rPr>
          <w:rFonts w:cs="Arial"/>
        </w:rPr>
        <w:t>Teachers employed on a day-to-day or other short notice basis are paid on a daily basis calculated on the assumption that a full working year consists of 195 days; periods of employment for less than a day being calculated pro-rata.</w:t>
      </w:r>
    </w:p>
    <w:p w14:paraId="7EDC99D2" w14:textId="77777777" w:rsidR="006D7849" w:rsidRPr="0029565F" w:rsidRDefault="004A0484" w:rsidP="00330B61">
      <w:pPr>
        <w:pStyle w:val="Numbered"/>
        <w:keepLines/>
        <w:numPr>
          <w:ilvl w:val="1"/>
          <w:numId w:val="14"/>
        </w:numPr>
        <w:ind w:left="567" w:hanging="567"/>
        <w:outlineLvl w:val="3"/>
        <w:rPr>
          <w:rFonts w:cs="Arial"/>
        </w:rPr>
      </w:pPr>
      <w:r w:rsidRPr="0029565F">
        <w:rPr>
          <w:rFonts w:cs="Arial"/>
        </w:rPr>
        <w:t xml:space="preserve">Further information on the working hours of short notice and supply teachers is contained in the policy </w:t>
      </w:r>
      <w:r w:rsidRPr="00EE1551">
        <w:rPr>
          <w:rFonts w:cs="Arial"/>
          <w:color w:val="0000FF"/>
        </w:rPr>
        <w:t>Teachers’ Working Time/1265 Hours</w:t>
      </w:r>
      <w:r w:rsidRPr="0029565F">
        <w:rPr>
          <w:rFonts w:cs="Arial"/>
        </w:rPr>
        <w:t>.</w:t>
      </w:r>
    </w:p>
    <w:p w14:paraId="700610EF" w14:textId="77777777" w:rsidR="003A47DD" w:rsidRPr="0029565F" w:rsidRDefault="003A47DD" w:rsidP="003A47DD">
      <w:pPr>
        <w:pStyle w:val="Heading2"/>
        <w:keepLines/>
      </w:pPr>
      <w:bookmarkStart w:id="47" w:name="_Toc54700384"/>
      <w:r w:rsidRPr="0029565F">
        <w:t>Allowances and other payments for classroom teachers</w:t>
      </w:r>
      <w:bookmarkEnd w:id="47"/>
      <w:r w:rsidRPr="0029565F">
        <w:t xml:space="preserve"> </w:t>
      </w:r>
    </w:p>
    <w:p w14:paraId="33C4A693" w14:textId="77777777" w:rsidR="006D7849" w:rsidRPr="0029565F" w:rsidRDefault="006D7849" w:rsidP="003A47DD">
      <w:pPr>
        <w:keepNext/>
        <w:keepLines/>
        <w:numPr>
          <w:ilvl w:val="0"/>
          <w:numId w:val="14"/>
        </w:numPr>
        <w:spacing w:before="120"/>
        <w:ind w:left="357" w:hanging="357"/>
        <w:rPr>
          <w:b/>
        </w:rPr>
      </w:pPr>
      <w:r w:rsidRPr="0029565F">
        <w:rPr>
          <w:b/>
        </w:rPr>
        <w:t xml:space="preserve">Teaching and </w:t>
      </w:r>
      <w:r w:rsidR="006A022E" w:rsidRPr="0029565F">
        <w:rPr>
          <w:b/>
        </w:rPr>
        <w:t>l</w:t>
      </w:r>
      <w:r w:rsidRPr="0029565F">
        <w:rPr>
          <w:b/>
        </w:rPr>
        <w:t xml:space="preserve">earning </w:t>
      </w:r>
      <w:r w:rsidR="006A022E" w:rsidRPr="0029565F">
        <w:rPr>
          <w:b/>
        </w:rPr>
        <w:t>r</w:t>
      </w:r>
      <w:r w:rsidRPr="0029565F">
        <w:rPr>
          <w:b/>
        </w:rPr>
        <w:t>esponsibility (TLR) payments</w:t>
      </w:r>
    </w:p>
    <w:p w14:paraId="1A3711B9" w14:textId="77777777" w:rsidR="006D7849" w:rsidRPr="0029565F" w:rsidRDefault="00724374" w:rsidP="00E17A84">
      <w:pPr>
        <w:pStyle w:val="Numbered"/>
        <w:keepLines/>
        <w:numPr>
          <w:ilvl w:val="1"/>
          <w:numId w:val="14"/>
        </w:numPr>
        <w:tabs>
          <w:tab w:val="num" w:pos="567"/>
        </w:tabs>
        <w:ind w:left="567" w:hanging="567"/>
        <w:outlineLvl w:val="3"/>
        <w:rPr>
          <w:rFonts w:cs="Arial"/>
        </w:rPr>
      </w:pPr>
      <w:r>
        <w:rPr>
          <w:rFonts w:cs="Arial"/>
        </w:rPr>
        <w:t xml:space="preserve">The </w:t>
      </w:r>
      <w:r w:rsidR="00D01FC0">
        <w:rPr>
          <w:rFonts w:cs="Arial"/>
        </w:rPr>
        <w:t>Governing board</w:t>
      </w:r>
      <w:r>
        <w:rPr>
          <w:rFonts w:cs="Arial"/>
        </w:rPr>
        <w:t xml:space="preserve"> may award a TLR1 or a TLR2 to a classroom teacher on a permanent basis for undertaking a sustained or additional responsibility for the purpose of ensuring the continue delivery of high quality teaching and learning for whi</w:t>
      </w:r>
      <w:r w:rsidR="00EE1551">
        <w:rPr>
          <w:rFonts w:cs="Arial"/>
        </w:rPr>
        <w:t xml:space="preserve">ch the teacher is responsible. </w:t>
      </w:r>
      <w:r w:rsidR="006D7849" w:rsidRPr="0029565F">
        <w:rPr>
          <w:rFonts w:cs="Arial"/>
        </w:rPr>
        <w:t xml:space="preserve">The award </w:t>
      </w:r>
      <w:r>
        <w:rPr>
          <w:rFonts w:cs="Arial"/>
        </w:rPr>
        <w:t xml:space="preserve">may </w:t>
      </w:r>
      <w:r w:rsidR="006D7849" w:rsidRPr="0029565F">
        <w:rPr>
          <w:rFonts w:cs="Arial"/>
        </w:rPr>
        <w:t xml:space="preserve">be while the teacher remains in the same post or occupies another post in the temporary absence of the post-holder. </w:t>
      </w:r>
      <w:r w:rsidR="008F5549" w:rsidRPr="0029565F">
        <w:rPr>
          <w:rFonts w:cs="Arial"/>
        </w:rPr>
        <w:t>Unqualified teachers may not be awarded TLRs</w:t>
      </w:r>
      <w:r w:rsidR="00E54ADF">
        <w:rPr>
          <w:rFonts w:cs="Arial"/>
        </w:rPr>
        <w:t xml:space="preserve">.  </w:t>
      </w:r>
    </w:p>
    <w:p w14:paraId="4DAFA226" w14:textId="77777777" w:rsidR="006D7849" w:rsidRPr="0029565F" w:rsidRDefault="006D7849" w:rsidP="00E17A84">
      <w:pPr>
        <w:pStyle w:val="Numbered"/>
        <w:keepLines/>
        <w:numPr>
          <w:ilvl w:val="1"/>
          <w:numId w:val="14"/>
        </w:numPr>
        <w:tabs>
          <w:tab w:val="num" w:pos="567"/>
        </w:tabs>
        <w:ind w:left="567" w:hanging="567"/>
        <w:outlineLvl w:val="3"/>
        <w:rPr>
          <w:rFonts w:cs="Arial"/>
        </w:rPr>
      </w:pPr>
      <w:r w:rsidRPr="0029565F">
        <w:rPr>
          <w:rFonts w:cs="Arial"/>
        </w:rPr>
        <w:t xml:space="preserve">A TLR3 may be awarded on a fixed-term basis to a classroom teacher for clearly time-limited school improvement projects, or one-off externally driven responsibilities. The duration of the fixed term will be established at the outset and payment should be made on a monthly basis for the duration of the fixed term. Where a TLR3 is awarded to a part-time teacher it will </w:t>
      </w:r>
      <w:r w:rsidR="00DA3743" w:rsidRPr="0029565F">
        <w:rPr>
          <w:rFonts w:cs="Arial"/>
          <w:b/>
        </w:rPr>
        <w:t>not</w:t>
      </w:r>
      <w:r w:rsidR="00DA3743" w:rsidRPr="0029565F">
        <w:rPr>
          <w:rFonts w:cs="Arial"/>
        </w:rPr>
        <w:t xml:space="preserve"> </w:t>
      </w:r>
      <w:r w:rsidRPr="0029565F">
        <w:rPr>
          <w:rFonts w:cs="Arial"/>
        </w:rPr>
        <w:t>be paid on a pro-rata basis.  When the TLR3 ceases there will be no entitlement to safeguarding.</w:t>
      </w:r>
    </w:p>
    <w:p w14:paraId="65EC71A1" w14:textId="77777777" w:rsidR="00B72148" w:rsidRPr="00EE1551" w:rsidRDefault="006E0368" w:rsidP="004E342D">
      <w:pPr>
        <w:pStyle w:val="Numbered"/>
        <w:keepLines/>
        <w:numPr>
          <w:ilvl w:val="1"/>
          <w:numId w:val="14"/>
        </w:numPr>
        <w:ind w:left="567" w:hanging="567"/>
        <w:outlineLvl w:val="3"/>
        <w:rPr>
          <w:rFonts w:cs="Arial"/>
        </w:rPr>
      </w:pPr>
      <w:r w:rsidRPr="0029565F">
        <w:rPr>
          <w:rFonts w:cs="Arial"/>
        </w:rPr>
        <w:t>H</w:t>
      </w:r>
      <w:r w:rsidR="0011326E" w:rsidRPr="0029565F">
        <w:rPr>
          <w:rFonts w:cs="Arial"/>
        </w:rPr>
        <w:t>aving decided to award</w:t>
      </w:r>
      <w:r w:rsidR="004E342D" w:rsidRPr="0029565F">
        <w:rPr>
          <w:rFonts w:cs="Arial"/>
        </w:rPr>
        <w:t xml:space="preserve"> a TLR, the </w:t>
      </w:r>
      <w:r w:rsidR="00D01FC0">
        <w:rPr>
          <w:rFonts w:cs="Arial"/>
        </w:rPr>
        <w:t>Governing board</w:t>
      </w:r>
      <w:r w:rsidR="004E342D" w:rsidRPr="0029565F">
        <w:rPr>
          <w:rFonts w:cs="Arial"/>
        </w:rPr>
        <w:t xml:space="preserve"> must be satisfied that the teacher’s duties include a significant responsibility that is not required of all classroom teachers, and:</w:t>
      </w:r>
    </w:p>
    <w:p w14:paraId="3AD027EC" w14:textId="77777777" w:rsidR="004E342D" w:rsidRPr="00C612C7" w:rsidRDefault="00E74C34" w:rsidP="00EE1551">
      <w:pPr>
        <w:pStyle w:val="Numbered"/>
        <w:keepLines/>
        <w:ind w:left="340" w:firstLine="227"/>
        <w:outlineLvl w:val="3"/>
        <w:rPr>
          <w:rFonts w:cs="Arial"/>
          <w:b/>
        </w:rPr>
      </w:pPr>
      <w:r w:rsidRPr="00C612C7">
        <w:rPr>
          <w:rFonts w:cs="Arial"/>
          <w:b/>
        </w:rPr>
        <w:t>For</w:t>
      </w:r>
      <w:r w:rsidR="004E342D" w:rsidRPr="00C612C7">
        <w:rPr>
          <w:rFonts w:cs="Arial"/>
          <w:b/>
        </w:rPr>
        <w:t xml:space="preserve"> TLR</w:t>
      </w:r>
      <w:r w:rsidRPr="00C612C7">
        <w:rPr>
          <w:rFonts w:cs="Arial"/>
          <w:b/>
        </w:rPr>
        <w:t xml:space="preserve"> 1, 2 &amp; 3</w:t>
      </w:r>
      <w:r w:rsidR="004E342D" w:rsidRPr="00C612C7">
        <w:rPr>
          <w:rFonts w:cs="Arial"/>
          <w:b/>
        </w:rPr>
        <w:t>:</w:t>
      </w:r>
    </w:p>
    <w:p w14:paraId="5E985AEE" w14:textId="77777777" w:rsidR="00E74C34" w:rsidRPr="0029565F" w:rsidRDefault="004E342D" w:rsidP="00606949">
      <w:pPr>
        <w:numPr>
          <w:ilvl w:val="0"/>
          <w:numId w:val="30"/>
        </w:numPr>
        <w:tabs>
          <w:tab w:val="clear" w:pos="1174"/>
          <w:tab w:val="num" w:pos="990"/>
        </w:tabs>
        <w:spacing w:after="60"/>
        <w:ind w:left="990" w:hanging="360"/>
        <w:rPr>
          <w:rFonts w:cs="Arial"/>
        </w:rPr>
      </w:pPr>
      <w:r w:rsidRPr="0029565F">
        <w:rPr>
          <w:rFonts w:cs="Arial"/>
        </w:rPr>
        <w:t>is focused on teaching and learning;</w:t>
      </w:r>
    </w:p>
    <w:p w14:paraId="15E54045" w14:textId="77777777" w:rsidR="00E74C34" w:rsidRPr="0029565F" w:rsidRDefault="004E342D" w:rsidP="00606949">
      <w:pPr>
        <w:numPr>
          <w:ilvl w:val="0"/>
          <w:numId w:val="30"/>
        </w:numPr>
        <w:tabs>
          <w:tab w:val="clear" w:pos="1174"/>
          <w:tab w:val="num" w:pos="990"/>
        </w:tabs>
        <w:spacing w:after="60"/>
        <w:ind w:left="990" w:hanging="360"/>
        <w:rPr>
          <w:rFonts w:cs="Arial"/>
        </w:rPr>
      </w:pPr>
      <w:r w:rsidRPr="0029565F">
        <w:rPr>
          <w:rFonts w:cs="Arial"/>
        </w:rPr>
        <w:t>requires the exercise of a teacher’s professional skills and judg</w:t>
      </w:r>
      <w:r w:rsidR="00E74C34" w:rsidRPr="0029565F">
        <w:rPr>
          <w:rFonts w:cs="Arial"/>
        </w:rPr>
        <w:t>ement;</w:t>
      </w:r>
    </w:p>
    <w:p w14:paraId="16DF4872" w14:textId="77777777" w:rsidR="00E74C34" w:rsidRPr="0029565F" w:rsidRDefault="004E342D" w:rsidP="00606949">
      <w:pPr>
        <w:numPr>
          <w:ilvl w:val="0"/>
          <w:numId w:val="30"/>
        </w:numPr>
        <w:tabs>
          <w:tab w:val="clear" w:pos="1174"/>
          <w:tab w:val="num" w:pos="990"/>
        </w:tabs>
        <w:spacing w:after="60"/>
        <w:ind w:left="990" w:hanging="360"/>
        <w:rPr>
          <w:rFonts w:cs="Arial"/>
        </w:rPr>
      </w:pPr>
      <w:r w:rsidRPr="0029565F">
        <w:rPr>
          <w:rFonts w:cs="Arial"/>
        </w:rPr>
        <w:t xml:space="preserve">has an impact on the educational progress of pupils other than the teacher’s assigned </w:t>
      </w:r>
      <w:r w:rsidR="00E74C34" w:rsidRPr="0029565F">
        <w:rPr>
          <w:rFonts w:cs="Arial"/>
        </w:rPr>
        <w:t>classes or groups of pupils;</w:t>
      </w:r>
    </w:p>
    <w:p w14:paraId="0EEB0BCB" w14:textId="77777777" w:rsidR="00E74C34" w:rsidRPr="00C612C7" w:rsidRDefault="00E74C34" w:rsidP="00EE1551">
      <w:pPr>
        <w:pStyle w:val="Numbered"/>
        <w:keepLines/>
        <w:ind w:left="340" w:firstLine="227"/>
        <w:outlineLvl w:val="3"/>
        <w:rPr>
          <w:rFonts w:cs="Arial"/>
          <w:b/>
        </w:rPr>
      </w:pPr>
      <w:r w:rsidRPr="00C612C7">
        <w:rPr>
          <w:rFonts w:cs="Arial"/>
          <w:b/>
        </w:rPr>
        <w:t>For TLR 1 &amp; 2:</w:t>
      </w:r>
    </w:p>
    <w:p w14:paraId="6A301E12" w14:textId="77777777" w:rsidR="00E74C34" w:rsidRPr="0029565F" w:rsidRDefault="004E342D" w:rsidP="00606949">
      <w:pPr>
        <w:numPr>
          <w:ilvl w:val="0"/>
          <w:numId w:val="30"/>
        </w:numPr>
        <w:tabs>
          <w:tab w:val="clear" w:pos="1174"/>
          <w:tab w:val="num" w:pos="990"/>
        </w:tabs>
        <w:spacing w:after="60"/>
        <w:ind w:left="990" w:hanging="360"/>
        <w:rPr>
          <w:rFonts w:cs="Arial"/>
        </w:rPr>
      </w:pPr>
      <w:r w:rsidRPr="00EE1551">
        <w:rPr>
          <w:rFonts w:cs="Arial"/>
        </w:rPr>
        <w:t>involves leading, developing and enhancing the teaching practice of other staff; and</w:t>
      </w:r>
    </w:p>
    <w:p w14:paraId="52FE82A3" w14:textId="77777777" w:rsidR="00E74C34" w:rsidRPr="0029565F" w:rsidRDefault="00E74C34" w:rsidP="00606949">
      <w:pPr>
        <w:numPr>
          <w:ilvl w:val="0"/>
          <w:numId w:val="30"/>
        </w:numPr>
        <w:tabs>
          <w:tab w:val="clear" w:pos="1174"/>
          <w:tab w:val="num" w:pos="990"/>
        </w:tabs>
        <w:spacing w:after="60"/>
        <w:ind w:left="990" w:hanging="360"/>
        <w:rPr>
          <w:rFonts w:cs="Arial"/>
        </w:rPr>
      </w:pPr>
      <w:r w:rsidRPr="0029565F">
        <w:rPr>
          <w:rFonts w:cs="Arial"/>
        </w:rPr>
        <w:t>requires the teacher to lead, manage and develop a subject or curriculum area; or to lead and manage pupil development across the curriculum;</w:t>
      </w:r>
    </w:p>
    <w:p w14:paraId="08E688DA" w14:textId="77777777" w:rsidR="00E74C34" w:rsidRPr="00C612C7" w:rsidRDefault="00E74C34" w:rsidP="00EE1551">
      <w:pPr>
        <w:pStyle w:val="Numbered"/>
        <w:keepLines/>
        <w:ind w:left="340" w:firstLine="227"/>
        <w:outlineLvl w:val="3"/>
        <w:rPr>
          <w:rFonts w:cs="Arial"/>
          <w:b/>
        </w:rPr>
      </w:pPr>
      <w:r w:rsidRPr="00C612C7">
        <w:rPr>
          <w:rFonts w:cs="Arial"/>
          <w:b/>
        </w:rPr>
        <w:t>For TLR 1 only:</w:t>
      </w:r>
    </w:p>
    <w:p w14:paraId="0F1CBA50" w14:textId="77777777" w:rsidR="004E342D" w:rsidRPr="0029565F" w:rsidRDefault="004E342D" w:rsidP="00606949">
      <w:pPr>
        <w:numPr>
          <w:ilvl w:val="0"/>
          <w:numId w:val="30"/>
        </w:numPr>
        <w:tabs>
          <w:tab w:val="clear" w:pos="1174"/>
          <w:tab w:val="num" w:pos="990"/>
        </w:tabs>
        <w:spacing w:after="60"/>
        <w:ind w:left="990" w:hanging="360"/>
        <w:rPr>
          <w:rFonts w:cs="Arial"/>
        </w:rPr>
      </w:pPr>
      <w:r w:rsidRPr="00EE1551">
        <w:rPr>
          <w:rFonts w:cs="Arial"/>
        </w:rPr>
        <w:t>involves line management responsibility for a significant number of people</w:t>
      </w:r>
    </w:p>
    <w:p w14:paraId="5C243B7E" w14:textId="77777777" w:rsidR="00900BC5" w:rsidRPr="0029565F" w:rsidRDefault="00900BC5" w:rsidP="00EE1551">
      <w:pPr>
        <w:pStyle w:val="Numbered"/>
        <w:keepLines/>
        <w:numPr>
          <w:ilvl w:val="1"/>
          <w:numId w:val="14"/>
        </w:numPr>
        <w:tabs>
          <w:tab w:val="num" w:pos="567"/>
        </w:tabs>
        <w:spacing w:before="120"/>
        <w:ind w:left="562" w:hanging="562"/>
        <w:outlineLvl w:val="3"/>
        <w:rPr>
          <w:rFonts w:cs="Arial"/>
        </w:rPr>
      </w:pPr>
      <w:r w:rsidRPr="0029565F">
        <w:rPr>
          <w:rFonts w:cs="Arial"/>
        </w:rPr>
        <w:t>Although a teacher cannot hold a TLR1 and TLR2 concurrently, a teacher in receipt of either a TLR1 or TLR2 may also hold a concurrent TLR3.</w:t>
      </w:r>
    </w:p>
    <w:p w14:paraId="750B45F5" w14:textId="4F4A3088" w:rsidR="00EE1551" w:rsidRDefault="006D7849" w:rsidP="00EE1551">
      <w:pPr>
        <w:pStyle w:val="Numbered"/>
        <w:keepLines/>
        <w:numPr>
          <w:ilvl w:val="1"/>
          <w:numId w:val="14"/>
        </w:numPr>
        <w:spacing w:before="120" w:after="0"/>
        <w:ind w:left="567" w:hanging="562"/>
        <w:outlineLvl w:val="3"/>
        <w:rPr>
          <w:rFonts w:cs="Arial"/>
        </w:rPr>
      </w:pPr>
      <w:r w:rsidRPr="00EE1551">
        <w:rPr>
          <w:rFonts w:cs="Arial"/>
        </w:rPr>
        <w:t xml:space="preserve">The </w:t>
      </w:r>
      <w:r w:rsidR="00C56F7E" w:rsidRPr="00EE1551">
        <w:rPr>
          <w:rFonts w:cs="Arial"/>
        </w:rPr>
        <w:t>annual value of a TLR 1 must be no less than £</w:t>
      </w:r>
      <w:r w:rsidR="00775E50">
        <w:rPr>
          <w:rFonts w:cs="Arial"/>
        </w:rPr>
        <w:t>8,</w:t>
      </w:r>
      <w:r w:rsidR="004A4B6D">
        <w:rPr>
          <w:rFonts w:cs="Arial"/>
        </w:rPr>
        <w:t>291</w:t>
      </w:r>
      <w:r w:rsidR="00C56F7E" w:rsidRPr="00EE1551">
        <w:rPr>
          <w:rFonts w:cs="Arial"/>
        </w:rPr>
        <w:t xml:space="preserve"> and no greater than £</w:t>
      </w:r>
      <w:r w:rsidR="006471EA">
        <w:rPr>
          <w:rFonts w:cs="Arial"/>
        </w:rPr>
        <w:t>14,030</w:t>
      </w:r>
      <w:r w:rsidR="00EE1551" w:rsidRPr="00EE1551">
        <w:rPr>
          <w:rFonts w:cs="Arial"/>
        </w:rPr>
        <w:t>.</w:t>
      </w:r>
    </w:p>
    <w:p w14:paraId="07E7F28D" w14:textId="25AE8DAC" w:rsidR="006D7849" w:rsidRPr="008D6FEE" w:rsidRDefault="00C56F7E" w:rsidP="004B290C">
      <w:pPr>
        <w:pStyle w:val="Numbered"/>
        <w:keepLines/>
        <w:numPr>
          <w:ilvl w:val="2"/>
          <w:numId w:val="15"/>
        </w:numPr>
        <w:tabs>
          <w:tab w:val="clear" w:pos="2160"/>
          <w:tab w:val="left" w:pos="1080"/>
        </w:tabs>
        <w:spacing w:before="120" w:after="0"/>
        <w:ind w:left="1080" w:hanging="446"/>
        <w:outlineLvl w:val="3"/>
        <w:rPr>
          <w:rFonts w:cs="Arial"/>
        </w:rPr>
      </w:pPr>
      <w:r w:rsidRPr="008D6FEE">
        <w:rPr>
          <w:rFonts w:cs="Arial"/>
        </w:rPr>
        <w:t xml:space="preserve">The </w:t>
      </w:r>
      <w:r w:rsidR="008D6FEE" w:rsidRPr="008D6FEE">
        <w:rPr>
          <w:rFonts w:cs="Arial"/>
        </w:rPr>
        <w:t>Skylark Federation will not be awarding any TLR1s during 2020-21</w:t>
      </w:r>
    </w:p>
    <w:p w14:paraId="6850BF72" w14:textId="57E7AD1F" w:rsidR="00C56F7E" w:rsidRPr="0029565F" w:rsidRDefault="00C56F7E" w:rsidP="00C56F7E">
      <w:pPr>
        <w:pStyle w:val="Numbered"/>
        <w:keepLines/>
        <w:numPr>
          <w:ilvl w:val="1"/>
          <w:numId w:val="14"/>
        </w:numPr>
        <w:tabs>
          <w:tab w:val="num" w:pos="567"/>
        </w:tabs>
        <w:spacing w:after="0"/>
        <w:ind w:left="567" w:hanging="567"/>
        <w:outlineLvl w:val="3"/>
        <w:rPr>
          <w:rFonts w:cs="Arial"/>
        </w:rPr>
      </w:pPr>
      <w:r w:rsidRPr="0029565F">
        <w:rPr>
          <w:rFonts w:cs="Arial"/>
        </w:rPr>
        <w:t>The annual value of a TLR2 must be no less than £</w:t>
      </w:r>
      <w:r w:rsidR="005D41E1">
        <w:rPr>
          <w:rFonts w:cs="Arial"/>
        </w:rPr>
        <w:t>2,</w:t>
      </w:r>
      <w:r w:rsidR="007469AF">
        <w:rPr>
          <w:rFonts w:cs="Arial"/>
        </w:rPr>
        <w:t>873</w:t>
      </w:r>
      <w:r w:rsidRPr="0029565F">
        <w:rPr>
          <w:rFonts w:cs="Arial"/>
        </w:rPr>
        <w:t xml:space="preserve"> and no greater than £</w:t>
      </w:r>
      <w:r w:rsidR="007469AF">
        <w:rPr>
          <w:rFonts w:cs="Arial"/>
        </w:rPr>
        <w:t>7,017</w:t>
      </w:r>
    </w:p>
    <w:p w14:paraId="7CCD6967" w14:textId="77777777" w:rsidR="00C56F7E" w:rsidRPr="0029565F" w:rsidRDefault="00C56F7E" w:rsidP="00671CFF">
      <w:pPr>
        <w:pStyle w:val="Numbered"/>
        <w:keepLines/>
        <w:spacing w:after="0"/>
        <w:ind w:left="567"/>
        <w:outlineLvl w:val="3"/>
        <w:rPr>
          <w:rFonts w:cs="Arial"/>
        </w:rPr>
      </w:pPr>
    </w:p>
    <w:p w14:paraId="6F519152" w14:textId="65CC6635" w:rsidR="006D7849" w:rsidRPr="0029565F" w:rsidRDefault="006D7849" w:rsidP="00671CFF">
      <w:pPr>
        <w:pStyle w:val="Numbered"/>
        <w:keepLines/>
        <w:numPr>
          <w:ilvl w:val="1"/>
          <w:numId w:val="14"/>
        </w:numPr>
        <w:tabs>
          <w:tab w:val="num" w:pos="567"/>
        </w:tabs>
        <w:spacing w:after="0"/>
        <w:ind w:left="567" w:hanging="567"/>
        <w:outlineLvl w:val="3"/>
        <w:rPr>
          <w:rFonts w:cs="Arial"/>
        </w:rPr>
      </w:pPr>
      <w:r w:rsidRPr="0029565F">
        <w:rPr>
          <w:rFonts w:cs="Arial"/>
        </w:rPr>
        <w:t xml:space="preserve">The values of </w:t>
      </w:r>
      <w:r w:rsidR="00C56F7E" w:rsidRPr="0029565F">
        <w:rPr>
          <w:rFonts w:cs="Arial"/>
        </w:rPr>
        <w:t xml:space="preserve">the </w:t>
      </w:r>
      <w:r w:rsidRPr="0029565F">
        <w:rPr>
          <w:rFonts w:cs="Arial"/>
        </w:rPr>
        <w:t xml:space="preserve">TLR2s </w:t>
      </w:r>
      <w:r w:rsidR="00C56F7E" w:rsidRPr="0029565F">
        <w:rPr>
          <w:rFonts w:cs="Arial"/>
        </w:rPr>
        <w:t xml:space="preserve">in the current staffing structure are </w:t>
      </w:r>
      <w:r w:rsidRPr="0029565F">
        <w:rPr>
          <w:rFonts w:cs="Arial"/>
        </w:rPr>
        <w:t>set out below:</w:t>
      </w:r>
      <w:r w:rsidR="00C56F7E" w:rsidRPr="0029565F">
        <w:rPr>
          <w:rFonts w:cs="Arial"/>
        </w:rPr>
        <w:t xml:space="preserve"> </w:t>
      </w:r>
    </w:p>
    <w:p w14:paraId="01254D79" w14:textId="3C3CEF24" w:rsidR="006D7849" w:rsidRPr="00514DE1" w:rsidRDefault="006D7849" w:rsidP="00315090">
      <w:pPr>
        <w:numPr>
          <w:ilvl w:val="2"/>
          <w:numId w:val="15"/>
        </w:numPr>
        <w:tabs>
          <w:tab w:val="clear" w:pos="2160"/>
          <w:tab w:val="left" w:pos="1080"/>
        </w:tabs>
        <w:spacing w:before="120"/>
        <w:ind w:left="1080" w:hanging="446"/>
        <w:rPr>
          <w:rFonts w:cs="Arial"/>
          <w:b/>
        </w:rPr>
      </w:pPr>
      <w:r w:rsidRPr="00514DE1">
        <w:rPr>
          <w:rFonts w:cs="Arial"/>
          <w:b/>
        </w:rPr>
        <w:t>[£</w:t>
      </w:r>
      <w:r w:rsidR="008D6FEE" w:rsidRPr="00514DE1">
        <w:rPr>
          <w:rFonts w:cs="Arial"/>
          <w:b/>
        </w:rPr>
        <w:t>2873</w:t>
      </w:r>
      <w:r w:rsidRPr="00514DE1">
        <w:rPr>
          <w:rFonts w:cs="Arial"/>
          <w:b/>
        </w:rPr>
        <w:t xml:space="preserve">] to the holder of </w:t>
      </w:r>
      <w:r w:rsidR="008D6FEE" w:rsidRPr="00514DE1">
        <w:rPr>
          <w:rFonts w:cs="Arial"/>
          <w:b/>
        </w:rPr>
        <w:t>Deputy Head of School</w:t>
      </w:r>
    </w:p>
    <w:p w14:paraId="67560B70" w14:textId="481C025A" w:rsidR="006D7849" w:rsidRPr="008D6FEE" w:rsidRDefault="00671CFF" w:rsidP="008D6FEE">
      <w:pPr>
        <w:pStyle w:val="Numbered"/>
        <w:keepLines/>
        <w:numPr>
          <w:ilvl w:val="1"/>
          <w:numId w:val="14"/>
        </w:numPr>
        <w:spacing w:before="120" w:after="0"/>
        <w:ind w:left="567" w:hanging="562"/>
        <w:outlineLvl w:val="3"/>
        <w:rPr>
          <w:rFonts w:cs="Arial"/>
        </w:rPr>
      </w:pPr>
      <w:r w:rsidRPr="0029565F">
        <w:rPr>
          <w:rFonts w:cs="Arial"/>
        </w:rPr>
        <w:t>The annual value of a TLR3 will be no less than £</w:t>
      </w:r>
      <w:r w:rsidR="007469AF">
        <w:rPr>
          <w:rFonts w:cs="Arial"/>
        </w:rPr>
        <w:t>571</w:t>
      </w:r>
      <w:r w:rsidRPr="0029565F">
        <w:rPr>
          <w:rFonts w:cs="Arial"/>
        </w:rPr>
        <w:t xml:space="preserve"> and no greater than £</w:t>
      </w:r>
      <w:r w:rsidR="005D41E1">
        <w:rPr>
          <w:rFonts w:cs="Arial"/>
        </w:rPr>
        <w:t>2,</w:t>
      </w:r>
      <w:r w:rsidR="007469AF">
        <w:rPr>
          <w:rFonts w:cs="Arial"/>
        </w:rPr>
        <w:t>833</w:t>
      </w:r>
      <w:r w:rsidR="00EE1551">
        <w:rPr>
          <w:rFonts w:cs="Arial"/>
        </w:rPr>
        <w:t>.</w:t>
      </w:r>
    </w:p>
    <w:p w14:paraId="6B01A80B" w14:textId="77777777" w:rsidR="00663340" w:rsidRPr="0029565F" w:rsidRDefault="00663340" w:rsidP="00D04003">
      <w:pPr>
        <w:pStyle w:val="Numbered"/>
        <w:keepLines/>
        <w:numPr>
          <w:ilvl w:val="1"/>
          <w:numId w:val="14"/>
        </w:numPr>
        <w:tabs>
          <w:tab w:val="num" w:pos="567"/>
        </w:tabs>
        <w:spacing w:before="120"/>
        <w:ind w:left="562" w:hanging="562"/>
        <w:outlineLvl w:val="3"/>
      </w:pPr>
      <w:r w:rsidRPr="0029565F">
        <w:t xml:space="preserve">Please also refer to section 13 of the </w:t>
      </w:r>
      <w:r w:rsidR="005D70FF" w:rsidRPr="005D70FF">
        <w:rPr>
          <w:color w:val="0000FF"/>
        </w:rPr>
        <w:t>Supplementary guidance document</w:t>
      </w:r>
      <w:r w:rsidRPr="0029565F" w:rsidDel="000736AF">
        <w:t xml:space="preserve"> </w:t>
      </w:r>
      <w:r w:rsidRPr="0029565F">
        <w:t>for further information.</w:t>
      </w:r>
    </w:p>
    <w:p w14:paraId="39989E77" w14:textId="77777777" w:rsidR="00663340" w:rsidRPr="0029565F" w:rsidRDefault="00663340" w:rsidP="00663340">
      <w:pPr>
        <w:pStyle w:val="Numbered"/>
        <w:keepLines/>
        <w:outlineLvl w:val="3"/>
        <w:sectPr w:rsidR="00663340" w:rsidRPr="0029565F" w:rsidSect="00C709D4">
          <w:pgSz w:w="11907" w:h="16840" w:code="9"/>
          <w:pgMar w:top="1134" w:right="1134" w:bottom="1134" w:left="1134" w:header="709" w:footer="709" w:gutter="0"/>
          <w:cols w:space="708"/>
          <w:docGrid w:linePitch="360"/>
        </w:sectPr>
      </w:pPr>
    </w:p>
    <w:p w14:paraId="2F04076F" w14:textId="6894797D" w:rsidR="007B5D77" w:rsidRPr="0029565F" w:rsidRDefault="00663340" w:rsidP="003A47DD">
      <w:pPr>
        <w:keepNext/>
        <w:keepLines/>
        <w:numPr>
          <w:ilvl w:val="0"/>
          <w:numId w:val="14"/>
        </w:numPr>
        <w:spacing w:before="120"/>
        <w:ind w:left="357" w:hanging="357"/>
        <w:rPr>
          <w:b/>
        </w:rPr>
      </w:pPr>
      <w:r w:rsidRPr="0029565F">
        <w:rPr>
          <w:b/>
        </w:rPr>
        <w:t>S</w:t>
      </w:r>
      <w:r w:rsidR="007B5D77" w:rsidRPr="0029565F">
        <w:rPr>
          <w:b/>
        </w:rPr>
        <w:t xml:space="preserve">pecial </w:t>
      </w:r>
      <w:r w:rsidR="00420D01" w:rsidRPr="0029565F">
        <w:rPr>
          <w:b/>
        </w:rPr>
        <w:t>e</w:t>
      </w:r>
      <w:r w:rsidR="007B5D77" w:rsidRPr="0029565F">
        <w:rPr>
          <w:b/>
        </w:rPr>
        <w:t xml:space="preserve">ducational </w:t>
      </w:r>
      <w:r w:rsidR="00420D01" w:rsidRPr="0029565F">
        <w:rPr>
          <w:b/>
        </w:rPr>
        <w:t>n</w:t>
      </w:r>
      <w:r w:rsidR="007B5D77" w:rsidRPr="0029565F">
        <w:rPr>
          <w:b/>
        </w:rPr>
        <w:t xml:space="preserve">eeds (SEN) </w:t>
      </w:r>
      <w:r w:rsidR="00420D01" w:rsidRPr="0029565F">
        <w:rPr>
          <w:b/>
        </w:rPr>
        <w:t>allowance</w:t>
      </w:r>
      <w:r w:rsidR="008D6FEE">
        <w:rPr>
          <w:b/>
        </w:rPr>
        <w:t xml:space="preserve"> – There will be no SEN allowance offered to Skylark Federation staff in 2020-21.</w:t>
      </w:r>
    </w:p>
    <w:p w14:paraId="54073EEA" w14:textId="77777777" w:rsidR="003D36B2" w:rsidRPr="0029565F" w:rsidRDefault="003D36B2" w:rsidP="00D31EA4">
      <w:pPr>
        <w:keepNext/>
        <w:keepLines/>
        <w:numPr>
          <w:ilvl w:val="0"/>
          <w:numId w:val="14"/>
        </w:numPr>
        <w:spacing w:before="120"/>
        <w:ind w:left="357" w:hanging="357"/>
        <w:rPr>
          <w:b/>
        </w:rPr>
      </w:pPr>
      <w:r w:rsidRPr="0029565F">
        <w:rPr>
          <w:b/>
        </w:rPr>
        <w:t>One-to-one tuition payments</w:t>
      </w:r>
      <w:r w:rsidR="00D31EA4" w:rsidRPr="0029565F">
        <w:rPr>
          <w:b/>
        </w:rPr>
        <w:t xml:space="preserve"> </w:t>
      </w:r>
      <w:r w:rsidR="00F9173D" w:rsidRPr="0029565F">
        <w:rPr>
          <w:b/>
        </w:rPr>
        <w:t>(</w:t>
      </w:r>
      <w:r w:rsidR="00663340" w:rsidRPr="0029565F">
        <w:rPr>
          <w:b/>
        </w:rPr>
        <w:t>optional: only include if applicable to your school</w:t>
      </w:r>
      <w:r w:rsidR="00F9173D" w:rsidRPr="0029565F">
        <w:rPr>
          <w:b/>
        </w:rPr>
        <w:t>)</w:t>
      </w:r>
    </w:p>
    <w:p w14:paraId="35058740" w14:textId="05346F2B" w:rsidR="00253A4F" w:rsidRPr="0029565F" w:rsidRDefault="00253A4F" w:rsidP="00E17A84">
      <w:pPr>
        <w:pStyle w:val="Numbered"/>
        <w:keepLines/>
        <w:numPr>
          <w:ilvl w:val="1"/>
          <w:numId w:val="14"/>
        </w:numPr>
        <w:tabs>
          <w:tab w:val="num" w:pos="567"/>
        </w:tabs>
        <w:ind w:left="567" w:hanging="567"/>
        <w:outlineLvl w:val="3"/>
        <w:rPr>
          <w:rFonts w:cs="Arial"/>
        </w:rPr>
      </w:pPr>
      <w:r w:rsidRPr="0029565F">
        <w:rPr>
          <w:rFonts w:cs="Arial"/>
        </w:rPr>
        <w:t xml:space="preserve">Payment for 1-2-1 tuition will be at </w:t>
      </w:r>
      <w:r w:rsidR="00977654" w:rsidRPr="0029565F">
        <w:rPr>
          <w:rFonts w:cs="Arial"/>
        </w:rPr>
        <w:t xml:space="preserve">a </w:t>
      </w:r>
      <w:r w:rsidRPr="0029565F">
        <w:rPr>
          <w:rFonts w:cs="Arial"/>
        </w:rPr>
        <w:t>rate of £</w:t>
      </w:r>
      <w:r w:rsidR="007469AF">
        <w:rPr>
          <w:rFonts w:cs="Arial"/>
        </w:rPr>
        <w:t>2</w:t>
      </w:r>
      <w:r w:rsidR="001D3D70">
        <w:rPr>
          <w:rFonts w:cs="Arial"/>
        </w:rPr>
        <w:t>9.00</w:t>
      </w:r>
      <w:r w:rsidRPr="0029565F">
        <w:rPr>
          <w:rFonts w:cs="Arial"/>
        </w:rPr>
        <w:t xml:space="preserve"> per hour.</w:t>
      </w:r>
      <w:r w:rsidR="00596508" w:rsidRPr="0029565F">
        <w:rPr>
          <w:rFonts w:cs="Arial"/>
        </w:rPr>
        <w:t xml:space="preserve">  </w:t>
      </w:r>
    </w:p>
    <w:p w14:paraId="30227FD6" w14:textId="77777777" w:rsidR="00663340" w:rsidRPr="0029565F" w:rsidRDefault="00663340" w:rsidP="00EA682D">
      <w:pPr>
        <w:pStyle w:val="Numbered"/>
        <w:keepLines/>
        <w:numPr>
          <w:ilvl w:val="1"/>
          <w:numId w:val="14"/>
        </w:numPr>
        <w:ind w:left="567" w:hanging="567"/>
        <w:outlineLvl w:val="3"/>
      </w:pPr>
      <w:r w:rsidRPr="0029565F">
        <w:t xml:space="preserve">Please also refer to section 15 of the </w:t>
      </w:r>
      <w:r w:rsidR="005D70FF" w:rsidRPr="005D70FF">
        <w:rPr>
          <w:color w:val="0000FF"/>
        </w:rPr>
        <w:t>Supplementary guidance document</w:t>
      </w:r>
      <w:r w:rsidRPr="0029565F" w:rsidDel="000736AF">
        <w:t xml:space="preserve"> </w:t>
      </w:r>
      <w:r w:rsidRPr="0029565F">
        <w:t>for further information.</w:t>
      </w:r>
    </w:p>
    <w:p w14:paraId="368F0990" w14:textId="77777777" w:rsidR="00253A4F" w:rsidRPr="0029565F" w:rsidRDefault="00253A4F" w:rsidP="00B52006">
      <w:pPr>
        <w:keepNext/>
        <w:keepLines/>
        <w:numPr>
          <w:ilvl w:val="0"/>
          <w:numId w:val="14"/>
        </w:numPr>
        <w:spacing w:before="120"/>
        <w:ind w:left="357" w:hanging="357"/>
        <w:rPr>
          <w:b/>
        </w:rPr>
      </w:pPr>
      <w:r w:rsidRPr="0029565F">
        <w:rPr>
          <w:b/>
        </w:rPr>
        <w:t>Continuing professional development (CPD) outside of the school day</w:t>
      </w:r>
      <w:r w:rsidR="00663340" w:rsidRPr="0029565F">
        <w:rPr>
          <w:b/>
        </w:rPr>
        <w:t xml:space="preserve"> (optional: only include if you are going to award CPD payments)</w:t>
      </w:r>
    </w:p>
    <w:p w14:paraId="286EA478" w14:textId="04B1034D" w:rsidR="00253A4F" w:rsidRPr="0029565F" w:rsidRDefault="00951D21" w:rsidP="00B52006">
      <w:pPr>
        <w:pStyle w:val="Numbered"/>
        <w:keepLines/>
        <w:numPr>
          <w:ilvl w:val="1"/>
          <w:numId w:val="14"/>
        </w:numPr>
        <w:tabs>
          <w:tab w:val="num" w:pos="567"/>
        </w:tabs>
        <w:spacing w:before="120"/>
        <w:ind w:left="567" w:hanging="567"/>
        <w:outlineLvl w:val="3"/>
        <w:rPr>
          <w:rFonts w:cs="Arial"/>
        </w:rPr>
      </w:pPr>
      <w:r w:rsidRPr="0029565F">
        <w:rPr>
          <w:rFonts w:cs="Arial"/>
        </w:rPr>
        <w:t xml:space="preserve">The </w:t>
      </w:r>
      <w:r w:rsidR="00D01FC0">
        <w:rPr>
          <w:rFonts w:cs="Arial"/>
        </w:rPr>
        <w:t>Governing board</w:t>
      </w:r>
      <w:r w:rsidRPr="0029565F">
        <w:rPr>
          <w:rFonts w:cs="Arial"/>
        </w:rPr>
        <w:t xml:space="preserve"> </w:t>
      </w:r>
      <w:r w:rsidR="005B485F" w:rsidRPr="0029565F">
        <w:rPr>
          <w:rFonts w:cs="Arial"/>
        </w:rPr>
        <w:t xml:space="preserve">has </w:t>
      </w:r>
      <w:r w:rsidRPr="0029565F">
        <w:rPr>
          <w:rFonts w:cs="Arial"/>
        </w:rPr>
        <w:t>determine</w:t>
      </w:r>
      <w:r w:rsidR="005B485F" w:rsidRPr="0029565F">
        <w:rPr>
          <w:rFonts w:cs="Arial"/>
        </w:rPr>
        <w:t xml:space="preserve">d that </w:t>
      </w:r>
      <w:r w:rsidR="00300528" w:rsidRPr="0029565F">
        <w:rPr>
          <w:rFonts w:cs="Arial"/>
        </w:rPr>
        <w:t>t</w:t>
      </w:r>
      <w:r w:rsidR="00253A4F" w:rsidRPr="0029565F">
        <w:rPr>
          <w:rFonts w:cs="Arial"/>
        </w:rPr>
        <w:t>eachers who undertake voluntary continuing professional development (CPD) outside the school day will be entitled to an additional payment</w:t>
      </w:r>
      <w:r w:rsidR="00300528" w:rsidRPr="0029565F">
        <w:rPr>
          <w:rFonts w:cs="Arial"/>
        </w:rPr>
        <w:t>.</w:t>
      </w:r>
      <w:r w:rsidR="005209E2">
        <w:rPr>
          <w:rFonts w:cs="Arial"/>
        </w:rPr>
        <w:t xml:space="preserve"> This will need to be agreed by the executive head teacher in advance.</w:t>
      </w:r>
    </w:p>
    <w:p w14:paraId="37A84A30" w14:textId="77777777" w:rsidR="00663340" w:rsidRPr="0029565F" w:rsidRDefault="00663340" w:rsidP="00B52006">
      <w:pPr>
        <w:pStyle w:val="Numbered"/>
        <w:keepLines/>
        <w:numPr>
          <w:ilvl w:val="1"/>
          <w:numId w:val="14"/>
        </w:numPr>
        <w:spacing w:before="120"/>
        <w:ind w:left="567" w:hanging="567"/>
        <w:outlineLvl w:val="3"/>
      </w:pPr>
      <w:r w:rsidRPr="0029565F">
        <w:t xml:space="preserve">Please also refer to section 16 of the </w:t>
      </w:r>
      <w:r w:rsidR="005D70FF" w:rsidRPr="005D70FF">
        <w:rPr>
          <w:color w:val="0000FF"/>
        </w:rPr>
        <w:t xml:space="preserve">Supplementary guidance document </w:t>
      </w:r>
      <w:r w:rsidRPr="0029565F">
        <w:rPr>
          <w:color w:val="0000FF"/>
        </w:rPr>
        <w:t>s</w:t>
      </w:r>
      <w:r w:rsidRPr="0029565F" w:rsidDel="000736AF">
        <w:t xml:space="preserve"> </w:t>
      </w:r>
      <w:r w:rsidRPr="0029565F">
        <w:t>for further information.</w:t>
      </w:r>
    </w:p>
    <w:p w14:paraId="4E32EEED" w14:textId="322B9557" w:rsidR="00253A4F" w:rsidRPr="0029565F" w:rsidRDefault="00253A4F" w:rsidP="00B52006">
      <w:pPr>
        <w:keepNext/>
        <w:keepLines/>
        <w:numPr>
          <w:ilvl w:val="0"/>
          <w:numId w:val="14"/>
        </w:numPr>
        <w:spacing w:before="120"/>
        <w:ind w:left="357" w:hanging="357"/>
        <w:rPr>
          <w:b/>
        </w:rPr>
      </w:pPr>
      <w:r w:rsidRPr="0029565F">
        <w:rPr>
          <w:b/>
        </w:rPr>
        <w:t xml:space="preserve">Initial </w:t>
      </w:r>
      <w:r w:rsidR="005B485F" w:rsidRPr="0029565F">
        <w:rPr>
          <w:b/>
        </w:rPr>
        <w:t>t</w:t>
      </w:r>
      <w:r w:rsidRPr="0029565F">
        <w:rPr>
          <w:b/>
        </w:rPr>
        <w:t xml:space="preserve">eacher </w:t>
      </w:r>
      <w:r w:rsidR="005B485F" w:rsidRPr="0029565F">
        <w:rPr>
          <w:b/>
        </w:rPr>
        <w:t>t</w:t>
      </w:r>
      <w:r w:rsidRPr="0029565F">
        <w:rPr>
          <w:b/>
        </w:rPr>
        <w:t>raining (ITT) activities payments</w:t>
      </w:r>
      <w:r w:rsidR="00CD6FDF" w:rsidRPr="0029565F">
        <w:rPr>
          <w:b/>
        </w:rPr>
        <w:t xml:space="preserve"> </w:t>
      </w:r>
    </w:p>
    <w:p w14:paraId="1304CB9F" w14:textId="1370796C" w:rsidR="00A3702F" w:rsidRPr="0029565F" w:rsidRDefault="00A3702F" w:rsidP="00B52006">
      <w:pPr>
        <w:pStyle w:val="Numbered"/>
        <w:keepLines/>
        <w:numPr>
          <w:ilvl w:val="1"/>
          <w:numId w:val="14"/>
        </w:numPr>
        <w:tabs>
          <w:tab w:val="num" w:pos="567"/>
        </w:tabs>
        <w:spacing w:before="120"/>
        <w:ind w:left="567" w:hanging="567"/>
        <w:outlineLvl w:val="3"/>
        <w:rPr>
          <w:rFonts w:cs="Arial"/>
        </w:rPr>
      </w:pPr>
      <w:r w:rsidRPr="0029565F">
        <w:rPr>
          <w:rFonts w:cs="Arial"/>
        </w:rPr>
        <w:t>T</w:t>
      </w:r>
      <w:r w:rsidR="00300528" w:rsidRPr="0029565F">
        <w:rPr>
          <w:rFonts w:cs="Arial"/>
        </w:rPr>
        <w:t xml:space="preserve">he </w:t>
      </w:r>
      <w:r w:rsidR="00D01FC0">
        <w:rPr>
          <w:rFonts w:cs="Arial"/>
        </w:rPr>
        <w:t>Governing board</w:t>
      </w:r>
      <w:r w:rsidR="00300528" w:rsidRPr="0029565F">
        <w:rPr>
          <w:rFonts w:cs="Arial"/>
        </w:rPr>
        <w:t xml:space="preserve"> </w:t>
      </w:r>
      <w:r w:rsidR="005B485F" w:rsidRPr="0029565F">
        <w:rPr>
          <w:rFonts w:cs="Arial"/>
        </w:rPr>
        <w:t xml:space="preserve">has </w:t>
      </w:r>
      <w:r w:rsidR="00300528" w:rsidRPr="0029565F">
        <w:rPr>
          <w:rFonts w:cs="Arial"/>
        </w:rPr>
        <w:t>determine</w:t>
      </w:r>
      <w:r w:rsidR="005B485F" w:rsidRPr="0029565F">
        <w:rPr>
          <w:rFonts w:cs="Arial"/>
        </w:rPr>
        <w:t>d that</w:t>
      </w:r>
      <w:r w:rsidR="00300528" w:rsidRPr="0029565F">
        <w:rPr>
          <w:rFonts w:cs="Arial"/>
        </w:rPr>
        <w:t xml:space="preserve"> t</w:t>
      </w:r>
      <w:r w:rsidRPr="0029565F">
        <w:rPr>
          <w:rFonts w:cs="Arial"/>
        </w:rPr>
        <w:t>eachers who undertake voluntary school-based initial teacher training activities will be entitled to an additional payment</w:t>
      </w:r>
      <w:r w:rsidR="005209E2">
        <w:rPr>
          <w:rFonts w:cs="Arial"/>
        </w:rPr>
        <w:t xml:space="preserve"> if prior agreement has been made with the executive head teacher and governors.</w:t>
      </w:r>
    </w:p>
    <w:p w14:paraId="549F3A72" w14:textId="77777777" w:rsidR="00663340" w:rsidRPr="0029565F" w:rsidRDefault="00663340" w:rsidP="00B52006">
      <w:pPr>
        <w:pStyle w:val="Numbered"/>
        <w:keepLines/>
        <w:numPr>
          <w:ilvl w:val="1"/>
          <w:numId w:val="14"/>
        </w:numPr>
        <w:spacing w:before="120"/>
        <w:ind w:left="567" w:hanging="567"/>
        <w:outlineLvl w:val="3"/>
      </w:pPr>
      <w:r w:rsidRPr="0029565F">
        <w:t xml:space="preserve">Please also refer to section 17 of the </w:t>
      </w:r>
      <w:r w:rsidR="005D70FF" w:rsidRPr="005D70FF">
        <w:rPr>
          <w:color w:val="0000FF"/>
        </w:rPr>
        <w:t>Supplementary guidance document</w:t>
      </w:r>
      <w:r w:rsidRPr="0029565F" w:rsidDel="000736AF">
        <w:t xml:space="preserve"> </w:t>
      </w:r>
      <w:r w:rsidRPr="0029565F">
        <w:t>for further information.</w:t>
      </w:r>
    </w:p>
    <w:p w14:paraId="712F6989" w14:textId="76854EC0" w:rsidR="00BA01D8" w:rsidRDefault="00BA01D8" w:rsidP="00B52006">
      <w:pPr>
        <w:pStyle w:val="Numbered"/>
        <w:keepLines/>
        <w:numPr>
          <w:ilvl w:val="0"/>
          <w:numId w:val="14"/>
        </w:numPr>
        <w:spacing w:before="120"/>
        <w:outlineLvl w:val="3"/>
        <w:rPr>
          <w:b/>
        </w:rPr>
      </w:pPr>
      <w:r w:rsidRPr="004F311C">
        <w:rPr>
          <w:b/>
        </w:rPr>
        <w:t>Provision of Services to other Schools (PSOS)</w:t>
      </w:r>
    </w:p>
    <w:p w14:paraId="42F0A5A1" w14:textId="1B62B745" w:rsidR="00D2152C" w:rsidRDefault="00D2152C" w:rsidP="00B52006">
      <w:pPr>
        <w:pStyle w:val="Numbered"/>
        <w:keepLines/>
        <w:numPr>
          <w:ilvl w:val="1"/>
          <w:numId w:val="14"/>
        </w:numPr>
        <w:spacing w:before="120"/>
        <w:ind w:left="567" w:hanging="567"/>
        <w:outlineLvl w:val="3"/>
      </w:pPr>
      <w:r>
        <w:t xml:space="preserve">Any PSOS services provided </w:t>
      </w:r>
      <w:r w:rsidR="003C56E6" w:rsidRPr="00C612C7">
        <w:t>by</w:t>
      </w:r>
      <w:r w:rsidR="003C56E6">
        <w:t xml:space="preserve"> </w:t>
      </w:r>
      <w:r>
        <w:t>a</w:t>
      </w:r>
      <w:r w:rsidR="005209E2">
        <w:t>n</w:t>
      </w:r>
      <w:r>
        <w:t xml:space="preserve"> </w:t>
      </w:r>
      <w:r w:rsidR="005209E2">
        <w:t xml:space="preserve">Executive </w:t>
      </w:r>
      <w:r>
        <w:t>Headteacher, or another member o</w:t>
      </w:r>
      <w:r w:rsidR="00526696">
        <w:t>f the school’s leadership team</w:t>
      </w:r>
      <w:r w:rsidR="006B0F5F">
        <w:t>,</w:t>
      </w:r>
      <w:r w:rsidR="00526696">
        <w:t xml:space="preserve"> </w:t>
      </w:r>
      <w:r>
        <w:t>whose salary range does not</w:t>
      </w:r>
      <w:r w:rsidR="006B0F5F">
        <w:t xml:space="preserve"> take account of such activity </w:t>
      </w:r>
      <w:r>
        <w:t xml:space="preserve">may be entitled to a payment that is related to their role as a National Leader of Education (NLE) or Specialist Leader of Education (SLE).  </w:t>
      </w:r>
    </w:p>
    <w:p w14:paraId="250EEAE1" w14:textId="483459B8" w:rsidR="00432C91" w:rsidRPr="00C612C7" w:rsidRDefault="00432C91" w:rsidP="00B52006">
      <w:pPr>
        <w:pStyle w:val="Numbered"/>
        <w:keepLines/>
        <w:numPr>
          <w:ilvl w:val="1"/>
          <w:numId w:val="14"/>
        </w:numPr>
        <w:spacing w:before="120"/>
        <w:ind w:left="567" w:hanging="567"/>
        <w:outlineLvl w:val="3"/>
      </w:pPr>
      <w:r w:rsidRPr="004F311C">
        <w:t xml:space="preserve">Any PSOS services provided by a </w:t>
      </w:r>
      <w:r>
        <w:t>teacher (other than a</w:t>
      </w:r>
      <w:r w:rsidR="005209E2">
        <w:t xml:space="preserve">n Executive </w:t>
      </w:r>
      <w:r>
        <w:t>He</w:t>
      </w:r>
      <w:r w:rsidRPr="004F311C">
        <w:t>adteacher</w:t>
      </w:r>
      <w:r>
        <w:t>)</w:t>
      </w:r>
      <w:r w:rsidRPr="004F311C">
        <w:t xml:space="preserve"> will be formally authorised by governors and where </w:t>
      </w:r>
      <w:r w:rsidRPr="00C612C7">
        <w:t xml:space="preserve">the work extends over more than a 12 month period, the arrangements will be formally reviewed annually. Arrangements for ending such work will also be agreed by governors. </w:t>
      </w:r>
    </w:p>
    <w:p w14:paraId="57460AC6" w14:textId="768876FF" w:rsidR="003C56E6" w:rsidRPr="00C612C7" w:rsidRDefault="00432C91" w:rsidP="00B52006">
      <w:pPr>
        <w:pStyle w:val="Numbered"/>
        <w:keepLines/>
        <w:numPr>
          <w:ilvl w:val="1"/>
          <w:numId w:val="14"/>
        </w:numPr>
        <w:spacing w:before="120"/>
        <w:ind w:left="567" w:hanging="567"/>
        <w:outlineLvl w:val="3"/>
      </w:pPr>
      <w:r w:rsidRPr="00C612C7">
        <w:t xml:space="preserve">Any expenses incurred by </w:t>
      </w:r>
      <w:r w:rsidR="003C56E6" w:rsidRPr="00C612C7">
        <w:t>a</w:t>
      </w:r>
      <w:r w:rsidRPr="00C612C7">
        <w:t xml:space="preserve"> teacher will be reimbursed by the school.  </w:t>
      </w:r>
    </w:p>
    <w:p w14:paraId="485587F7" w14:textId="54CFD693" w:rsidR="00432C91" w:rsidRPr="00C612C7" w:rsidRDefault="00432C91" w:rsidP="00B52006">
      <w:pPr>
        <w:pStyle w:val="Numbered"/>
        <w:keepLines/>
        <w:numPr>
          <w:ilvl w:val="1"/>
          <w:numId w:val="14"/>
        </w:numPr>
        <w:spacing w:before="120"/>
        <w:ind w:left="567" w:hanging="567"/>
        <w:outlineLvl w:val="3"/>
      </w:pPr>
      <w:r w:rsidRPr="00C612C7">
        <w:t xml:space="preserve">If </w:t>
      </w:r>
      <w:r w:rsidR="003C56E6" w:rsidRPr="00C612C7">
        <w:t xml:space="preserve">payment </w:t>
      </w:r>
      <w:r w:rsidRPr="00C612C7">
        <w:t xml:space="preserve">is agreed </w:t>
      </w:r>
      <w:r w:rsidR="003C56E6" w:rsidRPr="00C612C7">
        <w:t xml:space="preserve">as a result of taking on additional </w:t>
      </w:r>
      <w:r w:rsidR="00C612C7" w:rsidRPr="00C612C7">
        <w:t>work,</w:t>
      </w:r>
      <w:r w:rsidR="003C56E6" w:rsidRPr="00C612C7">
        <w:t xml:space="preserve"> </w:t>
      </w:r>
      <w:r w:rsidRPr="00C612C7">
        <w:t xml:space="preserve">it is recommended that governors use the mechanism of a TLR 3 </w:t>
      </w:r>
      <w:r w:rsidR="003C56E6" w:rsidRPr="00C612C7">
        <w:t>allowance</w:t>
      </w:r>
      <w:r w:rsidRPr="00C612C7">
        <w:t xml:space="preserve"> </w:t>
      </w:r>
    </w:p>
    <w:p w14:paraId="144DDA7C" w14:textId="64758131" w:rsidR="001A70DD" w:rsidRDefault="001A70DD" w:rsidP="00B52006">
      <w:pPr>
        <w:pStyle w:val="Numbered"/>
        <w:keepLines/>
        <w:numPr>
          <w:ilvl w:val="1"/>
          <w:numId w:val="14"/>
        </w:numPr>
        <w:spacing w:before="120"/>
        <w:ind w:left="567" w:hanging="567"/>
        <w:outlineLvl w:val="3"/>
      </w:pPr>
      <w:r>
        <w:t xml:space="preserve">Please note that safeguarding does not apply to PSOS arrangements for teachers, or </w:t>
      </w:r>
      <w:r w:rsidR="005209E2">
        <w:t xml:space="preserve">Executive </w:t>
      </w:r>
      <w:r>
        <w:t>Headteachers.</w:t>
      </w:r>
    </w:p>
    <w:p w14:paraId="09C39307" w14:textId="77777777" w:rsidR="00BA01D8" w:rsidRPr="00BA01D8" w:rsidRDefault="00DF4B9C" w:rsidP="00B52006">
      <w:pPr>
        <w:pStyle w:val="Numbered"/>
        <w:keepLines/>
        <w:numPr>
          <w:ilvl w:val="1"/>
          <w:numId w:val="14"/>
        </w:numPr>
        <w:spacing w:before="120"/>
        <w:ind w:left="567" w:hanging="567"/>
        <w:outlineLvl w:val="3"/>
      </w:pPr>
      <w:r w:rsidRPr="00DF4B9C">
        <w:t>Please also refer to section</w:t>
      </w:r>
      <w:r>
        <w:t xml:space="preserve"> 2</w:t>
      </w:r>
      <w:r w:rsidR="00336C4A">
        <w:t>2</w:t>
      </w:r>
      <w:r w:rsidR="00432C91" w:rsidRPr="004F311C">
        <w:t xml:space="preserve"> of the </w:t>
      </w:r>
      <w:r w:rsidR="005D70FF" w:rsidRPr="005D70FF">
        <w:rPr>
          <w:color w:val="0000FF"/>
        </w:rPr>
        <w:t>Supplementary guidance document</w:t>
      </w:r>
      <w:r w:rsidR="00432C91" w:rsidRPr="004F311C">
        <w:t xml:space="preserve"> for further information.</w:t>
      </w:r>
    </w:p>
    <w:p w14:paraId="2EEC2E10" w14:textId="77777777" w:rsidR="001A0053" w:rsidRDefault="00F152DE" w:rsidP="00B52006">
      <w:pPr>
        <w:keepNext/>
        <w:keepLines/>
        <w:numPr>
          <w:ilvl w:val="0"/>
          <w:numId w:val="14"/>
        </w:numPr>
        <w:spacing w:before="120"/>
        <w:rPr>
          <w:b/>
        </w:rPr>
      </w:pPr>
      <w:r w:rsidRPr="0029565F">
        <w:rPr>
          <w:b/>
        </w:rPr>
        <w:t>Acting Up</w:t>
      </w:r>
    </w:p>
    <w:p w14:paraId="35AFF055" w14:textId="1FC20ECE" w:rsidR="001A0053" w:rsidRPr="001A0053" w:rsidRDefault="001A0053" w:rsidP="00B52006">
      <w:pPr>
        <w:pStyle w:val="Numbered"/>
        <w:keepLines/>
        <w:numPr>
          <w:ilvl w:val="1"/>
          <w:numId w:val="14"/>
        </w:numPr>
        <w:spacing w:before="120"/>
        <w:ind w:left="567" w:hanging="567"/>
        <w:outlineLvl w:val="3"/>
      </w:pPr>
      <w:r w:rsidRPr="00DF4B9C">
        <w:t>Please also refer to section</w:t>
      </w:r>
      <w:r>
        <w:t xml:space="preserve"> 22</w:t>
      </w:r>
      <w:r w:rsidRPr="004F311C">
        <w:t xml:space="preserve"> of the </w:t>
      </w:r>
      <w:r w:rsidR="005D70FF" w:rsidRPr="005D70FF">
        <w:rPr>
          <w:color w:val="0000FF"/>
        </w:rPr>
        <w:t>Supplementary guidance document</w:t>
      </w:r>
      <w:r w:rsidRPr="004F311C">
        <w:t xml:space="preserve"> for further information.</w:t>
      </w:r>
      <w:r w:rsidR="005D70FF">
        <w:t xml:space="preserve"> </w:t>
      </w:r>
      <w:r w:rsidR="00F152DE" w:rsidRPr="001A0053">
        <w:rPr>
          <w:rFonts w:cs="Arial"/>
        </w:rPr>
        <w:t>Where a teacher is assigned and carries out duties of a</w:t>
      </w:r>
      <w:r w:rsidR="005209E2">
        <w:rPr>
          <w:rFonts w:cs="Arial"/>
        </w:rPr>
        <w:t>n Executive</w:t>
      </w:r>
      <w:r w:rsidR="00F152DE" w:rsidRPr="001A0053">
        <w:rPr>
          <w:rFonts w:cs="Arial"/>
        </w:rPr>
        <w:t xml:space="preserve"> </w:t>
      </w:r>
      <w:r w:rsidR="004859AE" w:rsidRPr="001A0053">
        <w:rPr>
          <w:rFonts w:cs="Arial"/>
        </w:rPr>
        <w:t>H</w:t>
      </w:r>
      <w:r w:rsidR="00F152DE" w:rsidRPr="001A0053">
        <w:rPr>
          <w:rFonts w:cs="Arial"/>
        </w:rPr>
        <w:t xml:space="preserve">eadteacher or </w:t>
      </w:r>
      <w:r w:rsidR="004859AE" w:rsidRPr="001A0053">
        <w:rPr>
          <w:rFonts w:cs="Arial"/>
        </w:rPr>
        <w:t>H</w:t>
      </w:r>
      <w:r w:rsidR="00F152DE" w:rsidRPr="001A0053">
        <w:rPr>
          <w:rFonts w:cs="Arial"/>
        </w:rPr>
        <w:t>ead</w:t>
      </w:r>
      <w:r w:rsidR="005209E2">
        <w:rPr>
          <w:rFonts w:cs="Arial"/>
        </w:rPr>
        <w:t xml:space="preserve"> of School</w:t>
      </w:r>
      <w:r w:rsidR="00F152DE" w:rsidRPr="001A0053">
        <w:rPr>
          <w:rFonts w:cs="Arial"/>
        </w:rPr>
        <w:t xml:space="preserve"> but has not been appointed as an </w:t>
      </w:r>
      <w:r w:rsidR="004859AE" w:rsidRPr="001A0053">
        <w:rPr>
          <w:rFonts w:cs="Arial"/>
        </w:rPr>
        <w:t>A</w:t>
      </w:r>
      <w:r w:rsidR="00F152DE" w:rsidRPr="001A0053">
        <w:rPr>
          <w:rFonts w:cs="Arial"/>
        </w:rPr>
        <w:t xml:space="preserve">cting </w:t>
      </w:r>
      <w:r w:rsidR="005209E2">
        <w:rPr>
          <w:rFonts w:cs="Arial"/>
        </w:rPr>
        <w:t xml:space="preserve">Executive </w:t>
      </w:r>
      <w:r w:rsidR="004859AE" w:rsidRPr="001A0053">
        <w:rPr>
          <w:rFonts w:cs="Arial"/>
        </w:rPr>
        <w:t>H</w:t>
      </w:r>
      <w:r w:rsidR="00F152DE" w:rsidRPr="001A0053">
        <w:rPr>
          <w:rFonts w:cs="Arial"/>
        </w:rPr>
        <w:t>ead</w:t>
      </w:r>
      <w:r w:rsidR="00F43755" w:rsidRPr="001A0053">
        <w:rPr>
          <w:rFonts w:cs="Arial"/>
        </w:rPr>
        <w:t xml:space="preserve">teacher </w:t>
      </w:r>
      <w:r w:rsidR="008E7D1A">
        <w:rPr>
          <w:rFonts w:cs="Arial"/>
        </w:rPr>
        <w:t>or</w:t>
      </w:r>
      <w:r w:rsidR="00F152DE" w:rsidRPr="001A0053">
        <w:rPr>
          <w:rFonts w:cs="Arial"/>
        </w:rPr>
        <w:t xml:space="preserve"> </w:t>
      </w:r>
      <w:r w:rsidR="004859AE" w:rsidRPr="001A0053">
        <w:rPr>
          <w:rFonts w:cs="Arial"/>
        </w:rPr>
        <w:t>H</w:t>
      </w:r>
      <w:r w:rsidR="00F43755" w:rsidRPr="001A0053">
        <w:rPr>
          <w:rFonts w:cs="Arial"/>
        </w:rPr>
        <w:t>ead</w:t>
      </w:r>
      <w:r w:rsidR="005209E2">
        <w:rPr>
          <w:rFonts w:cs="Arial"/>
        </w:rPr>
        <w:t xml:space="preserve"> of School</w:t>
      </w:r>
      <w:r w:rsidR="00F152DE" w:rsidRPr="001A0053">
        <w:rPr>
          <w:rFonts w:cs="Arial"/>
        </w:rPr>
        <w:t xml:space="preserve">, the </w:t>
      </w:r>
      <w:r w:rsidR="00D01FC0">
        <w:rPr>
          <w:rFonts w:cs="Arial"/>
        </w:rPr>
        <w:t>Governing board</w:t>
      </w:r>
      <w:r w:rsidR="00F152DE" w:rsidRPr="001A0053">
        <w:rPr>
          <w:rFonts w:cs="Arial"/>
        </w:rPr>
        <w:t xml:space="preserve"> must, within the period of four weeks beginning on the day on which such duties are first assigned and carried out, determine whether or not an allowance must be paid in accordance with the provisions set out within the relevant section of the </w:t>
      </w:r>
      <w:r w:rsidR="00615D45" w:rsidRPr="001A0053">
        <w:rPr>
          <w:rFonts w:cs="Arial"/>
        </w:rPr>
        <w:t>provisions set out at paragraphs 23.</w:t>
      </w:r>
      <w:r w:rsidR="007469AF">
        <w:rPr>
          <w:rFonts w:cs="Arial"/>
        </w:rPr>
        <w:t>1</w:t>
      </w:r>
      <w:r w:rsidR="00615D45" w:rsidRPr="001A0053">
        <w:rPr>
          <w:rFonts w:cs="Arial"/>
        </w:rPr>
        <w:t xml:space="preserve"> – 23.6 of the STPCD 20</w:t>
      </w:r>
      <w:r w:rsidR="007469AF">
        <w:rPr>
          <w:rFonts w:cs="Arial"/>
        </w:rPr>
        <w:t>20</w:t>
      </w:r>
      <w:r w:rsidR="00615D45" w:rsidRPr="001A0053">
        <w:rPr>
          <w:rFonts w:cs="Arial"/>
        </w:rPr>
        <w:t>.</w:t>
      </w:r>
    </w:p>
    <w:p w14:paraId="39A3C286" w14:textId="77777777" w:rsidR="001A0053" w:rsidRDefault="00A3702F" w:rsidP="00B52006">
      <w:pPr>
        <w:keepNext/>
        <w:keepLines/>
        <w:numPr>
          <w:ilvl w:val="0"/>
          <w:numId w:val="14"/>
        </w:numPr>
        <w:spacing w:before="120"/>
        <w:rPr>
          <w:b/>
        </w:rPr>
      </w:pPr>
      <w:r w:rsidRPr="0029565F">
        <w:rPr>
          <w:b/>
        </w:rPr>
        <w:t xml:space="preserve">Additional </w:t>
      </w:r>
      <w:r w:rsidR="005B485F" w:rsidRPr="0029565F">
        <w:rPr>
          <w:b/>
        </w:rPr>
        <w:t>r</w:t>
      </w:r>
      <w:r w:rsidRPr="0029565F">
        <w:rPr>
          <w:b/>
        </w:rPr>
        <w:t xml:space="preserve">esponsibilities and </w:t>
      </w:r>
      <w:r w:rsidR="005B485F" w:rsidRPr="0029565F">
        <w:rPr>
          <w:b/>
        </w:rPr>
        <w:t>a</w:t>
      </w:r>
      <w:r w:rsidR="00EA682D" w:rsidRPr="0029565F">
        <w:rPr>
          <w:b/>
        </w:rPr>
        <w:t xml:space="preserve">ctivities due to </w:t>
      </w:r>
      <w:r w:rsidRPr="0029565F">
        <w:rPr>
          <w:b/>
        </w:rPr>
        <w:t xml:space="preserve">the </w:t>
      </w:r>
      <w:r w:rsidR="005B485F" w:rsidRPr="0029565F">
        <w:rPr>
          <w:b/>
        </w:rPr>
        <w:t>p</w:t>
      </w:r>
      <w:r w:rsidRPr="0029565F">
        <w:rPr>
          <w:b/>
        </w:rPr>
        <w:t xml:space="preserve">rovision of </w:t>
      </w:r>
      <w:r w:rsidR="005B485F" w:rsidRPr="0029565F">
        <w:rPr>
          <w:b/>
        </w:rPr>
        <w:t>s</w:t>
      </w:r>
      <w:r w:rsidRPr="0029565F">
        <w:rPr>
          <w:b/>
        </w:rPr>
        <w:t>ervices</w:t>
      </w:r>
    </w:p>
    <w:p w14:paraId="5A6A59C2" w14:textId="54589D6F" w:rsidR="00615D45" w:rsidRPr="001A0053" w:rsidRDefault="00A3702F" w:rsidP="00B52006">
      <w:pPr>
        <w:pStyle w:val="Numbered"/>
        <w:keepLines/>
        <w:numPr>
          <w:ilvl w:val="1"/>
          <w:numId w:val="14"/>
        </w:numPr>
        <w:spacing w:before="120"/>
        <w:ind w:left="567" w:hanging="567"/>
        <w:outlineLvl w:val="3"/>
      </w:pPr>
      <w:r w:rsidRPr="0029565F">
        <w:rPr>
          <w:b/>
        </w:rPr>
        <w:t xml:space="preserve"> </w:t>
      </w:r>
      <w:r w:rsidR="00615D45" w:rsidRPr="001A0053">
        <w:rPr>
          <w:rFonts w:cs="Arial"/>
        </w:rPr>
        <w:t xml:space="preserve">The </w:t>
      </w:r>
      <w:r w:rsidR="00D01FC0">
        <w:rPr>
          <w:rFonts w:cs="Arial"/>
        </w:rPr>
        <w:t>Governing board</w:t>
      </w:r>
      <w:r w:rsidR="00615D45" w:rsidRPr="001A0053">
        <w:rPr>
          <w:rFonts w:cs="Arial"/>
        </w:rPr>
        <w:t xml:space="preserve"> may increase the remuneration of other teachers who as a result of the </w:t>
      </w:r>
      <w:r w:rsidR="008E7D1A">
        <w:rPr>
          <w:rFonts w:cs="Arial"/>
        </w:rPr>
        <w:t xml:space="preserve">executive </w:t>
      </w:r>
      <w:r w:rsidR="00615D45" w:rsidRPr="001A0053">
        <w:rPr>
          <w:rFonts w:cs="Arial"/>
        </w:rPr>
        <w:t xml:space="preserve">headteacher’s additional role are taking on additional responsibilities and activities for a temporary period. </w:t>
      </w:r>
    </w:p>
    <w:p w14:paraId="3D024177" w14:textId="77777777" w:rsidR="00615D45" w:rsidRPr="001A0053" w:rsidRDefault="00615D45" w:rsidP="00B52006">
      <w:pPr>
        <w:pStyle w:val="Numbered"/>
        <w:keepLines/>
        <w:numPr>
          <w:ilvl w:val="1"/>
          <w:numId w:val="14"/>
        </w:numPr>
        <w:spacing w:before="120"/>
        <w:ind w:left="567" w:hanging="567"/>
        <w:outlineLvl w:val="3"/>
      </w:pPr>
      <w:r w:rsidRPr="001A0053">
        <w:rPr>
          <w:rFonts w:cs="Arial"/>
        </w:rPr>
        <w:t xml:space="preserve">Any adjustment to pay is temporary and safeguarding provisions </w:t>
      </w:r>
      <w:r w:rsidRPr="001A0053">
        <w:rPr>
          <w:rFonts w:cs="Arial"/>
          <w:b/>
        </w:rPr>
        <w:t>will not</w:t>
      </w:r>
      <w:r w:rsidRPr="001A0053">
        <w:rPr>
          <w:rFonts w:cs="Arial"/>
        </w:rPr>
        <w:t xml:space="preserve"> apply. </w:t>
      </w:r>
    </w:p>
    <w:p w14:paraId="1A9651D7" w14:textId="77777777" w:rsidR="00A3702F" w:rsidRDefault="00A3702F" w:rsidP="00B52006">
      <w:pPr>
        <w:keepNext/>
        <w:keepLines/>
        <w:numPr>
          <w:ilvl w:val="0"/>
          <w:numId w:val="14"/>
        </w:numPr>
        <w:spacing w:before="120"/>
        <w:rPr>
          <w:b/>
        </w:rPr>
      </w:pPr>
      <w:r w:rsidRPr="0029565F">
        <w:rPr>
          <w:b/>
        </w:rPr>
        <w:t xml:space="preserve">Recruitment and </w:t>
      </w:r>
      <w:r w:rsidR="005B485F" w:rsidRPr="0029565F">
        <w:rPr>
          <w:b/>
        </w:rPr>
        <w:t>r</w:t>
      </w:r>
      <w:r w:rsidRPr="0029565F">
        <w:rPr>
          <w:b/>
        </w:rPr>
        <w:t xml:space="preserve">etention </w:t>
      </w:r>
      <w:r w:rsidR="005B485F" w:rsidRPr="0029565F">
        <w:rPr>
          <w:b/>
        </w:rPr>
        <w:t>i</w:t>
      </w:r>
      <w:r w:rsidRPr="0029565F">
        <w:rPr>
          <w:b/>
        </w:rPr>
        <w:t xml:space="preserve">ncentives and </w:t>
      </w:r>
      <w:r w:rsidR="005B485F" w:rsidRPr="0029565F">
        <w:rPr>
          <w:b/>
        </w:rPr>
        <w:t>b</w:t>
      </w:r>
      <w:r w:rsidRPr="0029565F">
        <w:rPr>
          <w:b/>
        </w:rPr>
        <w:t>enefits</w:t>
      </w:r>
    </w:p>
    <w:p w14:paraId="13CE7641" w14:textId="39A3DF47" w:rsidR="00DA3743" w:rsidRPr="001A0053" w:rsidRDefault="00DA3743" w:rsidP="00B52006">
      <w:pPr>
        <w:pStyle w:val="Numbered"/>
        <w:keepLines/>
        <w:numPr>
          <w:ilvl w:val="1"/>
          <w:numId w:val="14"/>
        </w:numPr>
        <w:spacing w:before="120"/>
        <w:ind w:left="567" w:hanging="567"/>
        <w:outlineLvl w:val="3"/>
      </w:pPr>
      <w:r w:rsidRPr="001A0053">
        <w:rPr>
          <w:rFonts w:cs="Arial"/>
        </w:rPr>
        <w:t xml:space="preserve">Recruitment and retention incentives and benefits may only be made for recruitment and retention purposes, not for carrying out specific responsibilities or to supplement pay for other </w:t>
      </w:r>
      <w:r w:rsidR="00C612C7" w:rsidRPr="001A0053">
        <w:rPr>
          <w:rFonts w:cs="Arial"/>
        </w:rPr>
        <w:t>reasons and</w:t>
      </w:r>
      <w:r w:rsidRPr="001A0053">
        <w:rPr>
          <w:rFonts w:cs="Arial"/>
        </w:rPr>
        <w:t xml:space="preserve"> should be in line with the school pay policy.  </w:t>
      </w:r>
    </w:p>
    <w:p w14:paraId="7193C18B" w14:textId="1070AA57" w:rsidR="00B52006" w:rsidRPr="000E2527" w:rsidRDefault="00A3702F" w:rsidP="00F812AB">
      <w:pPr>
        <w:pStyle w:val="Numbered"/>
        <w:keepNext/>
        <w:keepLines/>
        <w:numPr>
          <w:ilvl w:val="1"/>
          <w:numId w:val="14"/>
        </w:numPr>
        <w:tabs>
          <w:tab w:val="num" w:pos="990"/>
        </w:tabs>
        <w:spacing w:before="120"/>
        <w:ind w:left="562" w:hanging="562"/>
        <w:outlineLvl w:val="3"/>
        <w:rPr>
          <w:rFonts w:cs="Arial"/>
        </w:rPr>
      </w:pPr>
      <w:r w:rsidRPr="000E2527">
        <w:rPr>
          <w:rFonts w:cs="Arial"/>
        </w:rPr>
        <w:t xml:space="preserve">The </w:t>
      </w:r>
      <w:r w:rsidR="00D01FC0" w:rsidRPr="000E2527">
        <w:rPr>
          <w:rFonts w:cs="Arial"/>
        </w:rPr>
        <w:t>Governing board</w:t>
      </w:r>
      <w:r w:rsidRPr="000E2527">
        <w:rPr>
          <w:rFonts w:cs="Arial"/>
        </w:rPr>
        <w:t xml:space="preserve"> </w:t>
      </w:r>
      <w:r w:rsidR="000E2527" w:rsidRPr="000E2527">
        <w:rPr>
          <w:rFonts w:cs="Arial"/>
        </w:rPr>
        <w:t>does not plan to</w:t>
      </w:r>
      <w:r w:rsidRPr="000E2527">
        <w:rPr>
          <w:rFonts w:cs="Arial"/>
        </w:rPr>
        <w:t xml:space="preserve"> pay recruitment </w:t>
      </w:r>
      <w:r w:rsidR="000E2527" w:rsidRPr="000E2527">
        <w:rPr>
          <w:rFonts w:cs="Arial"/>
        </w:rPr>
        <w:t xml:space="preserve">and retention </w:t>
      </w:r>
      <w:r w:rsidRPr="000E2527">
        <w:rPr>
          <w:rFonts w:cs="Arial"/>
        </w:rPr>
        <w:t>awards</w:t>
      </w:r>
      <w:r w:rsidR="00B72148" w:rsidRPr="000E2527">
        <w:rPr>
          <w:rFonts w:cs="Arial"/>
        </w:rPr>
        <w:t>.</w:t>
      </w:r>
    </w:p>
    <w:p w14:paraId="4C74ED0D" w14:textId="77777777" w:rsidR="00663340" w:rsidRPr="00B52006" w:rsidRDefault="00663340" w:rsidP="004F311C">
      <w:pPr>
        <w:pStyle w:val="Numbered"/>
        <w:keepNext/>
        <w:keepLines/>
        <w:numPr>
          <w:ilvl w:val="1"/>
          <w:numId w:val="14"/>
        </w:numPr>
        <w:spacing w:before="120"/>
        <w:ind w:left="562" w:hanging="562"/>
        <w:outlineLvl w:val="3"/>
        <w:rPr>
          <w:rFonts w:cs="Arial"/>
        </w:rPr>
      </w:pPr>
      <w:r w:rsidRPr="0029565F">
        <w:t xml:space="preserve">Please also refer to section 19 of the </w:t>
      </w:r>
      <w:r w:rsidR="005D70FF" w:rsidRPr="005D70FF">
        <w:rPr>
          <w:color w:val="0000FF"/>
        </w:rPr>
        <w:t>Supplementary guidance document</w:t>
      </w:r>
      <w:r w:rsidRPr="0029565F" w:rsidDel="000736AF">
        <w:t xml:space="preserve"> </w:t>
      </w:r>
      <w:r w:rsidRPr="0029565F">
        <w:t>for further information.</w:t>
      </w:r>
    </w:p>
    <w:p w14:paraId="6473F0CA" w14:textId="77777777" w:rsidR="002C3689" w:rsidRDefault="002C3689" w:rsidP="00B52006">
      <w:pPr>
        <w:pStyle w:val="Numbered"/>
        <w:keepLines/>
        <w:numPr>
          <w:ilvl w:val="0"/>
          <w:numId w:val="14"/>
        </w:numPr>
        <w:spacing w:before="120"/>
        <w:outlineLvl w:val="3"/>
        <w:rPr>
          <w:b/>
        </w:rPr>
      </w:pPr>
      <w:r w:rsidRPr="0029565F">
        <w:rPr>
          <w:b/>
        </w:rPr>
        <w:t>Teachers Paid a Safeguarding Sum</w:t>
      </w:r>
    </w:p>
    <w:p w14:paraId="4EE973DC" w14:textId="5B16665D" w:rsidR="00B52006" w:rsidRDefault="002C3689" w:rsidP="001A0053">
      <w:pPr>
        <w:pStyle w:val="Numbered"/>
        <w:keepLines/>
        <w:numPr>
          <w:ilvl w:val="1"/>
          <w:numId w:val="14"/>
        </w:numPr>
        <w:spacing w:before="120"/>
        <w:ind w:left="567" w:hanging="567"/>
        <w:outlineLvl w:val="3"/>
      </w:pPr>
      <w:r w:rsidRPr="00B52006">
        <w:t>Safeguarding arrangements apply according to the provisions of the STPCD</w:t>
      </w:r>
      <w:r w:rsidR="002E75DF" w:rsidRPr="00B52006">
        <w:t xml:space="preserve"> 20</w:t>
      </w:r>
      <w:r w:rsidR="00A055EF">
        <w:t>20</w:t>
      </w:r>
      <w:r w:rsidRPr="00B52006">
        <w:t>.</w:t>
      </w:r>
    </w:p>
    <w:p w14:paraId="6D0EB023" w14:textId="625E842D" w:rsidR="00663340" w:rsidRPr="00B52006" w:rsidRDefault="00663340" w:rsidP="001A0053">
      <w:pPr>
        <w:pStyle w:val="Numbered"/>
        <w:keepLines/>
        <w:numPr>
          <w:ilvl w:val="1"/>
          <w:numId w:val="14"/>
        </w:numPr>
        <w:spacing w:before="120"/>
        <w:ind w:left="567" w:hanging="567"/>
        <w:outlineLvl w:val="3"/>
      </w:pPr>
      <w:r w:rsidRPr="0029565F">
        <w:t>Please also refer to section 2</w:t>
      </w:r>
      <w:r w:rsidR="00C13D7F">
        <w:t>4</w:t>
      </w:r>
      <w:r w:rsidRPr="0029565F">
        <w:t xml:space="preserve"> of the </w:t>
      </w:r>
      <w:r w:rsidR="005D70FF" w:rsidRPr="005D70FF">
        <w:rPr>
          <w:color w:val="0000FF"/>
        </w:rPr>
        <w:t>Supplementary guidance document</w:t>
      </w:r>
      <w:r w:rsidRPr="0029565F" w:rsidDel="000736AF">
        <w:t xml:space="preserve"> </w:t>
      </w:r>
      <w:r w:rsidRPr="0029565F">
        <w:t>for further information.</w:t>
      </w:r>
    </w:p>
    <w:p w14:paraId="67881A29" w14:textId="77777777" w:rsidR="002C3689" w:rsidRPr="0029565F" w:rsidRDefault="002C3689" w:rsidP="00B52006">
      <w:pPr>
        <w:pStyle w:val="Numbered"/>
        <w:keepLines/>
        <w:numPr>
          <w:ilvl w:val="0"/>
          <w:numId w:val="14"/>
        </w:numPr>
        <w:spacing w:before="120"/>
        <w:outlineLvl w:val="3"/>
        <w:rPr>
          <w:b/>
        </w:rPr>
      </w:pPr>
      <w:r w:rsidRPr="0029565F">
        <w:rPr>
          <w:b/>
        </w:rPr>
        <w:t xml:space="preserve">Honorarium </w:t>
      </w:r>
      <w:r w:rsidR="008F4E4D" w:rsidRPr="0029565F">
        <w:rPr>
          <w:b/>
        </w:rPr>
        <w:t>p</w:t>
      </w:r>
      <w:r w:rsidRPr="0029565F">
        <w:rPr>
          <w:b/>
        </w:rPr>
        <w:t>ayments</w:t>
      </w:r>
    </w:p>
    <w:p w14:paraId="6B608304" w14:textId="3EA4DF4F" w:rsidR="00DA3743" w:rsidRDefault="002C3689" w:rsidP="00B52006">
      <w:pPr>
        <w:pStyle w:val="Numbered"/>
        <w:keepLines/>
        <w:numPr>
          <w:ilvl w:val="1"/>
          <w:numId w:val="14"/>
        </w:numPr>
        <w:spacing w:before="120"/>
        <w:ind w:left="567" w:hanging="567"/>
        <w:outlineLvl w:val="3"/>
      </w:pPr>
      <w:r w:rsidRPr="00B52006">
        <w:t xml:space="preserve">The STPCD does not provide for the payment of bonuses or so-called ‘honoraria’ in any circumstances.  </w:t>
      </w:r>
    </w:p>
    <w:p w14:paraId="5617A407" w14:textId="77777777" w:rsidR="00810D9F" w:rsidRPr="00B52006" w:rsidRDefault="00810D9F" w:rsidP="00810D9F">
      <w:pPr>
        <w:pStyle w:val="Numbered"/>
        <w:keepLines/>
        <w:spacing w:before="120"/>
        <w:outlineLvl w:val="3"/>
      </w:pPr>
    </w:p>
    <w:p w14:paraId="708F0E69" w14:textId="77777777" w:rsidR="003A47DD" w:rsidRPr="0029565F" w:rsidRDefault="003A47DD" w:rsidP="003A47DD">
      <w:pPr>
        <w:pStyle w:val="Heading2"/>
        <w:keepLines/>
      </w:pPr>
      <w:bookmarkStart w:id="48" w:name="_Toc54700385"/>
      <w:r w:rsidRPr="0029565F">
        <w:t>Leadership pay</w:t>
      </w:r>
      <w:bookmarkEnd w:id="48"/>
    </w:p>
    <w:p w14:paraId="3B28C9F5" w14:textId="77777777" w:rsidR="002C3689" w:rsidRPr="0029565F" w:rsidRDefault="00E55463" w:rsidP="00B52006">
      <w:pPr>
        <w:pStyle w:val="Numbered"/>
        <w:keepLines/>
        <w:numPr>
          <w:ilvl w:val="0"/>
          <w:numId w:val="14"/>
        </w:numPr>
        <w:spacing w:before="120"/>
        <w:outlineLvl w:val="3"/>
        <w:rPr>
          <w:b/>
        </w:rPr>
      </w:pPr>
      <w:r w:rsidRPr="0029565F">
        <w:rPr>
          <w:b/>
        </w:rPr>
        <w:t>L</w:t>
      </w:r>
      <w:r w:rsidR="002C3689" w:rsidRPr="0029565F">
        <w:rPr>
          <w:b/>
        </w:rPr>
        <w:t xml:space="preserve">eadership </w:t>
      </w:r>
      <w:r w:rsidRPr="0029565F">
        <w:rPr>
          <w:b/>
        </w:rPr>
        <w:t xml:space="preserve">group </w:t>
      </w:r>
      <w:r w:rsidR="007D5A12" w:rsidRPr="0029565F">
        <w:rPr>
          <w:b/>
        </w:rPr>
        <w:t xml:space="preserve">pay </w:t>
      </w:r>
    </w:p>
    <w:p w14:paraId="26D88091" w14:textId="77777777" w:rsidR="00B52006" w:rsidRDefault="00C75E08" w:rsidP="004F311C">
      <w:pPr>
        <w:pStyle w:val="Numbered"/>
        <w:keepLines/>
        <w:numPr>
          <w:ilvl w:val="1"/>
          <w:numId w:val="14"/>
        </w:numPr>
        <w:spacing w:before="120"/>
        <w:ind w:left="567" w:hanging="567"/>
        <w:outlineLvl w:val="3"/>
      </w:pPr>
      <w:r w:rsidRPr="00B52006">
        <w:t xml:space="preserve">The </w:t>
      </w:r>
      <w:r w:rsidR="007A2194" w:rsidRPr="00B52006">
        <w:t xml:space="preserve">national </w:t>
      </w:r>
      <w:r w:rsidRPr="00B52006">
        <w:t>leadership pay framework change</w:t>
      </w:r>
      <w:r w:rsidR="008A5048" w:rsidRPr="00B52006">
        <w:t>d</w:t>
      </w:r>
      <w:r w:rsidRPr="00B52006">
        <w:t xml:space="preserve"> from September 2014 – the existing leadership pay spine w</w:t>
      </w:r>
      <w:r w:rsidR="008A5048" w:rsidRPr="00B52006">
        <w:t>as</w:t>
      </w:r>
      <w:r w:rsidRPr="00B52006">
        <w:t xml:space="preserve"> replaced with a minimum and maximum pay range. </w:t>
      </w:r>
    </w:p>
    <w:p w14:paraId="5AC8F5DE" w14:textId="04F08356" w:rsidR="00B52006" w:rsidRPr="00B52006" w:rsidRDefault="00C75E08" w:rsidP="004F311C">
      <w:pPr>
        <w:pStyle w:val="Numbered"/>
        <w:keepLines/>
        <w:numPr>
          <w:ilvl w:val="1"/>
          <w:numId w:val="14"/>
        </w:numPr>
        <w:spacing w:before="120"/>
        <w:ind w:left="567" w:hanging="567"/>
        <w:outlineLvl w:val="3"/>
      </w:pPr>
      <w:r w:rsidRPr="00B52006">
        <w:rPr>
          <w:rFonts w:cs="Arial"/>
        </w:rPr>
        <w:t xml:space="preserve">The new provisions only automatically apply to new appointments made on or after 1 September 2014. </w:t>
      </w:r>
      <w:r w:rsidR="00017445" w:rsidRPr="00B52006">
        <w:rPr>
          <w:rFonts w:cs="Arial"/>
        </w:rPr>
        <w:t>Since</w:t>
      </w:r>
      <w:r w:rsidR="00D55D9E" w:rsidRPr="00B52006">
        <w:rPr>
          <w:rFonts w:cs="Arial"/>
        </w:rPr>
        <w:t xml:space="preserve"> September 2015 </w:t>
      </w:r>
      <w:r w:rsidR="00D55D9E" w:rsidRPr="00B52006">
        <w:rPr>
          <w:rFonts w:cs="Arial"/>
          <w:b/>
        </w:rPr>
        <w:t>t</w:t>
      </w:r>
      <w:r w:rsidRPr="00B52006">
        <w:rPr>
          <w:rFonts w:cs="Arial"/>
          <w:b/>
        </w:rPr>
        <w:t xml:space="preserve">here </w:t>
      </w:r>
      <w:r w:rsidR="00017445" w:rsidRPr="00B52006">
        <w:rPr>
          <w:rFonts w:cs="Arial"/>
          <w:b/>
        </w:rPr>
        <w:t>has</w:t>
      </w:r>
      <w:r w:rsidRPr="00B52006">
        <w:rPr>
          <w:rFonts w:cs="Arial"/>
          <w:b/>
        </w:rPr>
        <w:t xml:space="preserve"> </w:t>
      </w:r>
      <w:r w:rsidR="00017445" w:rsidRPr="00B52006">
        <w:rPr>
          <w:rFonts w:cs="Arial"/>
          <w:b/>
        </w:rPr>
        <w:t xml:space="preserve">been </w:t>
      </w:r>
      <w:r w:rsidRPr="00B52006">
        <w:rPr>
          <w:rFonts w:cs="Arial"/>
          <w:b/>
        </w:rPr>
        <w:t xml:space="preserve">no </w:t>
      </w:r>
      <w:r w:rsidR="007279DE" w:rsidRPr="00B52006">
        <w:rPr>
          <w:rFonts w:cs="Arial"/>
          <w:b/>
        </w:rPr>
        <w:t>need</w:t>
      </w:r>
      <w:r w:rsidRPr="00B52006">
        <w:rPr>
          <w:rFonts w:cs="Arial"/>
          <w:b/>
        </w:rPr>
        <w:t xml:space="preserve"> to re-assess the pay </w:t>
      </w:r>
      <w:r w:rsidR="007279DE" w:rsidRPr="00B52006">
        <w:rPr>
          <w:rFonts w:cs="Arial"/>
          <w:b/>
        </w:rPr>
        <w:t xml:space="preserve">or allowances </w:t>
      </w:r>
      <w:r w:rsidRPr="00B52006">
        <w:rPr>
          <w:rFonts w:cs="Arial"/>
          <w:b/>
        </w:rPr>
        <w:t>of existing school leaders</w:t>
      </w:r>
      <w:r w:rsidR="00D55D9E" w:rsidRPr="00B52006">
        <w:rPr>
          <w:rFonts w:cs="Arial"/>
          <w:b/>
        </w:rPr>
        <w:t xml:space="preserve">. </w:t>
      </w:r>
      <w:r w:rsidR="007279DE" w:rsidRPr="00B52006">
        <w:rPr>
          <w:rFonts w:cs="Arial"/>
        </w:rPr>
        <w:t>The pay of those in post will only need to be reviewed when there are significant changes to responsibilities.</w:t>
      </w:r>
      <w:r w:rsidR="002F2856" w:rsidRPr="00B52006">
        <w:rPr>
          <w:rFonts w:cs="Arial"/>
        </w:rPr>
        <w:t xml:space="preserve">  It will be for the </w:t>
      </w:r>
      <w:r w:rsidR="00D01FC0" w:rsidRPr="00B52006">
        <w:rPr>
          <w:rFonts w:cs="Arial"/>
        </w:rPr>
        <w:t>Governing board</w:t>
      </w:r>
      <w:r w:rsidR="002F2856" w:rsidRPr="00B52006">
        <w:rPr>
          <w:rFonts w:cs="Arial"/>
        </w:rPr>
        <w:t xml:space="preserve"> to determine </w:t>
      </w:r>
      <w:r w:rsidR="00DB4C16" w:rsidRPr="00B52006">
        <w:rPr>
          <w:rFonts w:cs="Arial"/>
        </w:rPr>
        <w:t xml:space="preserve">the </w:t>
      </w:r>
      <w:r w:rsidR="002F2856" w:rsidRPr="00B52006">
        <w:rPr>
          <w:rFonts w:cs="Arial"/>
        </w:rPr>
        <w:t xml:space="preserve">context </w:t>
      </w:r>
      <w:r w:rsidR="00DB4C16" w:rsidRPr="00B52006">
        <w:rPr>
          <w:rFonts w:cs="Arial"/>
        </w:rPr>
        <w:t xml:space="preserve">in </w:t>
      </w:r>
      <w:r w:rsidR="002F2856" w:rsidRPr="00B52006">
        <w:rPr>
          <w:rFonts w:cs="Arial"/>
        </w:rPr>
        <w:t>which any change should be regarded as ‘significant’</w:t>
      </w:r>
      <w:r w:rsidR="00DB4C16" w:rsidRPr="00B52006">
        <w:rPr>
          <w:rFonts w:cs="Arial"/>
        </w:rPr>
        <w:t xml:space="preserve"> in accordance with the sch</w:t>
      </w:r>
      <w:r w:rsidR="00B52006">
        <w:rPr>
          <w:rFonts w:cs="Arial"/>
        </w:rPr>
        <w:t xml:space="preserve">ool’s </w:t>
      </w:r>
      <w:r w:rsidR="00000677">
        <w:rPr>
          <w:rFonts w:cs="Arial"/>
        </w:rPr>
        <w:t>circumstances</w:t>
      </w:r>
      <w:r w:rsidR="00B52006">
        <w:rPr>
          <w:rFonts w:cs="Arial"/>
        </w:rPr>
        <w:t>.</w:t>
      </w:r>
    </w:p>
    <w:p w14:paraId="6A8D3284" w14:textId="77777777" w:rsidR="00B52006" w:rsidRPr="00B52006" w:rsidRDefault="007D5A12" w:rsidP="004F311C">
      <w:pPr>
        <w:pStyle w:val="Numbered"/>
        <w:keepLines/>
        <w:numPr>
          <w:ilvl w:val="1"/>
          <w:numId w:val="14"/>
        </w:numPr>
        <w:spacing w:before="120"/>
        <w:ind w:left="567" w:hanging="567"/>
        <w:outlineLvl w:val="3"/>
      </w:pPr>
      <w:r w:rsidRPr="00B52006">
        <w:rPr>
          <w:rFonts w:cs="Arial"/>
        </w:rPr>
        <w:t xml:space="preserve">The </w:t>
      </w:r>
      <w:r w:rsidR="00D01FC0" w:rsidRPr="00B52006">
        <w:rPr>
          <w:rFonts w:cs="Arial"/>
        </w:rPr>
        <w:t>Governing board</w:t>
      </w:r>
      <w:r w:rsidRPr="00B52006">
        <w:rPr>
          <w:rFonts w:cs="Arial"/>
        </w:rPr>
        <w:t xml:space="preserve"> </w:t>
      </w:r>
      <w:r w:rsidR="002C3689" w:rsidRPr="00B52006">
        <w:rPr>
          <w:rFonts w:cs="Arial"/>
        </w:rPr>
        <w:t xml:space="preserve">will ensure the process of determining the pay of the </w:t>
      </w:r>
      <w:r w:rsidR="00C75E08" w:rsidRPr="00B52006">
        <w:rPr>
          <w:rFonts w:cs="Arial"/>
        </w:rPr>
        <w:t>leadership group</w:t>
      </w:r>
      <w:r w:rsidR="00B52006">
        <w:rPr>
          <w:rFonts w:cs="Arial"/>
        </w:rPr>
        <w:t xml:space="preserve"> is fair and transparent.</w:t>
      </w:r>
      <w:r w:rsidR="007956F8" w:rsidRPr="00B52006">
        <w:rPr>
          <w:rFonts w:cs="Arial"/>
        </w:rPr>
        <w:t xml:space="preserve"> </w:t>
      </w:r>
      <w:r w:rsidR="00C75E08" w:rsidRPr="00B52006">
        <w:rPr>
          <w:rFonts w:cs="Arial"/>
        </w:rPr>
        <w:t>All decisions on leadership pay will be clearly recorded for audit purposes.</w:t>
      </w:r>
    </w:p>
    <w:p w14:paraId="45D7EF3C" w14:textId="6CC48ED8" w:rsidR="00B52006" w:rsidRDefault="007D5A12" w:rsidP="004F311C">
      <w:pPr>
        <w:pStyle w:val="Numbered"/>
        <w:keepLines/>
        <w:numPr>
          <w:ilvl w:val="1"/>
          <w:numId w:val="14"/>
        </w:numPr>
        <w:spacing w:before="120"/>
        <w:ind w:left="567" w:hanging="567"/>
        <w:outlineLvl w:val="3"/>
      </w:pPr>
      <w:r w:rsidRPr="00B52006">
        <w:rPr>
          <w:rFonts w:cs="Arial"/>
        </w:rPr>
        <w:t xml:space="preserve">When determining the leadership pay range, the </w:t>
      </w:r>
      <w:r w:rsidR="00D01FC0" w:rsidRPr="00B52006">
        <w:rPr>
          <w:rFonts w:cs="Arial"/>
        </w:rPr>
        <w:t>Governing board</w:t>
      </w:r>
      <w:r w:rsidRPr="00B52006">
        <w:rPr>
          <w:rFonts w:cs="Arial"/>
        </w:rPr>
        <w:t xml:space="preserve"> must </w:t>
      </w:r>
      <w:r w:rsidR="00000677" w:rsidRPr="00B52006">
        <w:rPr>
          <w:rFonts w:cs="Arial"/>
        </w:rPr>
        <w:t>consider</w:t>
      </w:r>
      <w:r w:rsidRPr="00B52006">
        <w:rPr>
          <w:rFonts w:cs="Arial"/>
        </w:rPr>
        <w:t xml:space="preserve"> all the permanent responsibilities of the role, any challenges that are specific to the role and all other relevant considerations (such as recruitment difficulties).</w:t>
      </w:r>
    </w:p>
    <w:p w14:paraId="08019F40" w14:textId="77777777" w:rsidR="00B52006" w:rsidRPr="00B52006" w:rsidRDefault="007D5A12" w:rsidP="004F311C">
      <w:pPr>
        <w:pStyle w:val="Numbered"/>
        <w:keepLines/>
        <w:numPr>
          <w:ilvl w:val="1"/>
          <w:numId w:val="14"/>
        </w:numPr>
        <w:spacing w:before="120"/>
        <w:ind w:left="567" w:hanging="567"/>
        <w:outlineLvl w:val="3"/>
      </w:pPr>
      <w:r w:rsidRPr="00B52006">
        <w:rPr>
          <w:rFonts w:cs="Arial"/>
        </w:rPr>
        <w:t xml:space="preserve">The </w:t>
      </w:r>
      <w:r w:rsidR="00D01FC0" w:rsidRPr="00B52006">
        <w:rPr>
          <w:rFonts w:cs="Arial"/>
        </w:rPr>
        <w:t>Governing board</w:t>
      </w:r>
      <w:r w:rsidRPr="00B52006">
        <w:rPr>
          <w:rFonts w:cs="Arial"/>
        </w:rPr>
        <w:t xml:space="preserve"> must ensure that there is appropriate scope within the range to allow for performance related progression over time.</w:t>
      </w:r>
    </w:p>
    <w:p w14:paraId="4147148B" w14:textId="2E1C2227" w:rsidR="00B52006" w:rsidRDefault="006B6F90" w:rsidP="004F311C">
      <w:pPr>
        <w:pStyle w:val="Numbered"/>
        <w:keepLines/>
        <w:numPr>
          <w:ilvl w:val="1"/>
          <w:numId w:val="14"/>
        </w:numPr>
        <w:spacing w:before="120"/>
        <w:ind w:left="567" w:hanging="567"/>
        <w:outlineLvl w:val="3"/>
      </w:pPr>
      <w:r w:rsidRPr="00B52006">
        <w:rPr>
          <w:rFonts w:cs="Arial"/>
        </w:rPr>
        <w:t xml:space="preserve">Following the publication of the </w:t>
      </w:r>
      <w:r w:rsidR="00DB5908" w:rsidRPr="00B52006">
        <w:rPr>
          <w:rFonts w:cs="Arial"/>
        </w:rPr>
        <w:t>STPCD 2015</w:t>
      </w:r>
      <w:r w:rsidR="009D7103" w:rsidRPr="00B52006">
        <w:rPr>
          <w:rFonts w:cs="Arial"/>
        </w:rPr>
        <w:t>,</w:t>
      </w:r>
      <w:r w:rsidR="00DB5908" w:rsidRPr="00B52006">
        <w:rPr>
          <w:rFonts w:cs="Arial"/>
        </w:rPr>
        <w:t xml:space="preserve"> for </w:t>
      </w:r>
      <w:r w:rsidR="00D55D9E" w:rsidRPr="00B52006">
        <w:rPr>
          <w:rFonts w:cs="Arial"/>
        </w:rPr>
        <w:t xml:space="preserve">headteachers </w:t>
      </w:r>
      <w:r w:rsidR="009D7103" w:rsidRPr="00B52006">
        <w:rPr>
          <w:rFonts w:cs="Arial"/>
        </w:rPr>
        <w:t xml:space="preserve">who were already </w:t>
      </w:r>
      <w:r w:rsidR="00D55D9E" w:rsidRPr="00B52006">
        <w:rPr>
          <w:rFonts w:cs="Arial"/>
        </w:rPr>
        <w:t xml:space="preserve">paid at the maximum of their relevant headteacher pay group range, </w:t>
      </w:r>
      <w:r w:rsidR="00DB5908" w:rsidRPr="00B52006">
        <w:rPr>
          <w:rFonts w:cs="Arial"/>
        </w:rPr>
        <w:t>or who moved to the top of a pay range</w:t>
      </w:r>
      <w:r w:rsidRPr="00B52006">
        <w:rPr>
          <w:rFonts w:cs="Arial"/>
        </w:rPr>
        <w:t xml:space="preserve"> following a pay determination</w:t>
      </w:r>
      <w:r w:rsidR="00DB5908" w:rsidRPr="00B52006">
        <w:rPr>
          <w:rFonts w:cs="Arial"/>
        </w:rPr>
        <w:t xml:space="preserve">, </w:t>
      </w:r>
      <w:r w:rsidR="00D55D9E" w:rsidRPr="00B52006">
        <w:rPr>
          <w:rFonts w:cs="Arial"/>
        </w:rPr>
        <w:t>calculated in accordance with Section 2, para</w:t>
      </w:r>
      <w:r w:rsidR="00191EBD" w:rsidRPr="00B52006">
        <w:rPr>
          <w:rFonts w:cs="Arial"/>
        </w:rPr>
        <w:t>graph</w:t>
      </w:r>
      <w:r w:rsidR="00D55D9E" w:rsidRPr="00B52006">
        <w:rPr>
          <w:rFonts w:cs="Arial"/>
        </w:rPr>
        <w:t xml:space="preserve"> 6 -, governing bod</w:t>
      </w:r>
      <w:r w:rsidR="00DB5908" w:rsidRPr="00B52006">
        <w:rPr>
          <w:rFonts w:cs="Arial"/>
        </w:rPr>
        <w:t>ies</w:t>
      </w:r>
      <w:r w:rsidR="00D55D9E" w:rsidRPr="00B52006">
        <w:rPr>
          <w:rFonts w:cs="Arial"/>
        </w:rPr>
        <w:t xml:space="preserve"> </w:t>
      </w:r>
      <w:r w:rsidR="00BB2069" w:rsidRPr="00B52006">
        <w:rPr>
          <w:rFonts w:cs="Arial"/>
        </w:rPr>
        <w:t>w</w:t>
      </w:r>
      <w:r w:rsidR="00DB5908" w:rsidRPr="00B52006">
        <w:rPr>
          <w:rFonts w:cs="Arial"/>
        </w:rPr>
        <w:t>ere</w:t>
      </w:r>
      <w:r w:rsidR="005C1769" w:rsidRPr="00B52006">
        <w:rPr>
          <w:rFonts w:cs="Arial"/>
        </w:rPr>
        <w:t xml:space="preserve"> unable to</w:t>
      </w:r>
      <w:r w:rsidR="00D55D9E" w:rsidRPr="00B52006">
        <w:rPr>
          <w:rFonts w:cs="Arial"/>
        </w:rPr>
        <w:t xml:space="preserve"> apply any annual pay award uplift</w:t>
      </w:r>
      <w:r w:rsidR="009D7103" w:rsidRPr="00B52006">
        <w:rPr>
          <w:rFonts w:cs="Arial"/>
        </w:rPr>
        <w:t xml:space="preserve">.  </w:t>
      </w:r>
      <w:r w:rsidR="00707ECD" w:rsidRPr="00B52006">
        <w:rPr>
          <w:rFonts w:cs="Arial"/>
        </w:rPr>
        <w:t>Accordingly, additional nominal reference points were created to enable this as follows: L</w:t>
      </w:r>
      <w:r w:rsidR="00707ECD" w:rsidRPr="004F311C">
        <w:t xml:space="preserve">18*, </w:t>
      </w:r>
      <w:r w:rsidR="00707ECD">
        <w:t>L</w:t>
      </w:r>
      <w:r w:rsidR="00707ECD" w:rsidRPr="004F311C">
        <w:t xml:space="preserve">21*, </w:t>
      </w:r>
      <w:r w:rsidR="00707ECD">
        <w:t>L</w:t>
      </w:r>
      <w:r w:rsidR="00707ECD" w:rsidRPr="004F311C">
        <w:t xml:space="preserve">24*, </w:t>
      </w:r>
      <w:r w:rsidR="00707ECD">
        <w:t>L</w:t>
      </w:r>
      <w:r w:rsidR="00707ECD" w:rsidRPr="004F311C">
        <w:t xml:space="preserve">27*, </w:t>
      </w:r>
      <w:r w:rsidR="00707ECD">
        <w:t>L</w:t>
      </w:r>
      <w:r w:rsidR="00707ECD" w:rsidRPr="004F311C">
        <w:t xml:space="preserve">31*, </w:t>
      </w:r>
      <w:r w:rsidR="00707ECD">
        <w:t>L</w:t>
      </w:r>
      <w:r w:rsidR="00707ECD" w:rsidRPr="004F311C">
        <w:t xml:space="preserve">35*, </w:t>
      </w:r>
      <w:r w:rsidR="00707ECD">
        <w:t>L</w:t>
      </w:r>
      <w:r w:rsidR="00707ECD" w:rsidRPr="004F311C">
        <w:t xml:space="preserve">39* and </w:t>
      </w:r>
      <w:r w:rsidR="00707ECD">
        <w:t>L</w:t>
      </w:r>
      <w:r w:rsidR="00707ECD" w:rsidRPr="004F311C">
        <w:t>43 on the Leadership Pay Range</w:t>
      </w:r>
      <w:r w:rsidR="00B52006">
        <w:t xml:space="preserve">. </w:t>
      </w:r>
      <w:r w:rsidR="00DB5908">
        <w:t>This meant</w:t>
      </w:r>
      <w:r w:rsidR="005C1769">
        <w:t xml:space="preserve"> that </w:t>
      </w:r>
      <w:r w:rsidR="00D05086">
        <w:t>since</w:t>
      </w:r>
      <w:r w:rsidR="00DB5908">
        <w:t xml:space="preserve">2015/16 there </w:t>
      </w:r>
      <w:r w:rsidR="00D05086">
        <w:t>are</w:t>
      </w:r>
      <w:r w:rsidR="005C1769">
        <w:t xml:space="preserve"> two </w:t>
      </w:r>
      <w:r w:rsidR="00D05086">
        <w:t xml:space="preserve">separate </w:t>
      </w:r>
      <w:r w:rsidR="005C1769">
        <w:t xml:space="preserve">values for each of these </w:t>
      </w:r>
      <w:r w:rsidR="00DB5908">
        <w:t xml:space="preserve">nominal reference </w:t>
      </w:r>
      <w:r w:rsidR="005C1769">
        <w:t>points on the leadership pay spine</w:t>
      </w:r>
      <w:r w:rsidR="00B52006">
        <w:t>.</w:t>
      </w:r>
    </w:p>
    <w:p w14:paraId="5EEBFE79" w14:textId="20F5E67E" w:rsidR="00B52006" w:rsidRDefault="005C1769" w:rsidP="004F311C">
      <w:pPr>
        <w:pStyle w:val="Numbered"/>
        <w:keepLines/>
        <w:numPr>
          <w:ilvl w:val="1"/>
          <w:numId w:val="14"/>
        </w:numPr>
        <w:spacing w:before="120"/>
        <w:ind w:left="567" w:hanging="567"/>
        <w:outlineLvl w:val="3"/>
      </w:pPr>
      <w:r>
        <w:t>From 1</w:t>
      </w:r>
      <w:r w:rsidRPr="00B52006">
        <w:rPr>
          <w:vertAlign w:val="superscript"/>
        </w:rPr>
        <w:t>st</w:t>
      </w:r>
      <w:r>
        <w:t xml:space="preserve"> September 2016, </w:t>
      </w:r>
      <w:r w:rsidR="00DB5908" w:rsidRPr="00113C7E">
        <w:rPr>
          <w:b/>
          <w:u w:val="single"/>
        </w:rPr>
        <w:t>all</w:t>
      </w:r>
      <w:r w:rsidR="00113C7E">
        <w:rPr>
          <w:bCs/>
        </w:rPr>
        <w:t xml:space="preserve"> </w:t>
      </w:r>
      <w:r w:rsidRPr="00113C7E">
        <w:rPr>
          <w:bCs/>
        </w:rPr>
        <w:t>values</w:t>
      </w:r>
      <w:r>
        <w:t xml:space="preserve"> </w:t>
      </w:r>
      <w:r w:rsidR="00DB5908">
        <w:t>of the nominal reference points on the leadership pay spine have been uplifted by 1 % (including the “*” values).</w:t>
      </w:r>
      <w:r>
        <w:t xml:space="preserve"> </w:t>
      </w:r>
      <w:r w:rsidR="00EC5165">
        <w:t xml:space="preserve">Where a Headteacher is paid on either of the nominal reference points </w:t>
      </w:r>
      <w:r w:rsidR="00EC5165" w:rsidRPr="00B52006">
        <w:rPr>
          <w:rFonts w:cs="Arial"/>
        </w:rPr>
        <w:t>L</w:t>
      </w:r>
      <w:r w:rsidR="00EC5165" w:rsidRPr="00937133">
        <w:t xml:space="preserve">18*, </w:t>
      </w:r>
      <w:r w:rsidR="00EC5165">
        <w:t>L</w:t>
      </w:r>
      <w:r w:rsidR="00EC5165" w:rsidRPr="00937133">
        <w:t xml:space="preserve">21*, </w:t>
      </w:r>
      <w:r w:rsidR="00EC5165">
        <w:t>L</w:t>
      </w:r>
      <w:r w:rsidR="00EC5165" w:rsidRPr="00937133">
        <w:t xml:space="preserve">24*, </w:t>
      </w:r>
      <w:r w:rsidR="00EC5165">
        <w:t>L</w:t>
      </w:r>
      <w:r w:rsidR="00EC5165" w:rsidRPr="00937133">
        <w:t xml:space="preserve">27*, </w:t>
      </w:r>
      <w:r w:rsidR="00EC5165">
        <w:t>L</w:t>
      </w:r>
      <w:r w:rsidR="00EC5165" w:rsidRPr="00937133">
        <w:t xml:space="preserve">31*, </w:t>
      </w:r>
      <w:r w:rsidR="00EC5165">
        <w:t>L</w:t>
      </w:r>
      <w:r w:rsidR="00EC5165" w:rsidRPr="00937133">
        <w:t xml:space="preserve">35*, </w:t>
      </w:r>
      <w:r w:rsidR="00EC5165">
        <w:t>or L</w:t>
      </w:r>
      <w:r w:rsidR="00EC5165" w:rsidRPr="00937133">
        <w:t>39*</w:t>
      </w:r>
      <w:r w:rsidR="00EC5165">
        <w:t xml:space="preserve">, these </w:t>
      </w:r>
      <w:r>
        <w:t xml:space="preserve">values continue to </w:t>
      </w:r>
      <w:r w:rsidRPr="004F311C">
        <w:t>apply unless the</w:t>
      </w:r>
      <w:r w:rsidR="00EC5165">
        <w:t xml:space="preserve"> </w:t>
      </w:r>
      <w:r w:rsidR="00D01FC0">
        <w:t>Governing board</w:t>
      </w:r>
      <w:r w:rsidRPr="004F311C">
        <w:t xml:space="preserve"> </w:t>
      </w:r>
      <w:r w:rsidR="00EC5165">
        <w:t>chooses</w:t>
      </w:r>
      <w:r w:rsidRPr="004F311C">
        <w:t xml:space="preserve"> to exercise its discretion to pay a higher salary in accordance with paragraph 9 of Section 2 of the STPCD.</w:t>
      </w:r>
      <w:r w:rsidR="00017445">
        <w:t xml:space="preserve"> From 1</w:t>
      </w:r>
      <w:r w:rsidR="00017445" w:rsidRPr="00B52006">
        <w:rPr>
          <w:vertAlign w:val="superscript"/>
        </w:rPr>
        <w:t>st</w:t>
      </w:r>
      <w:r w:rsidR="004C005D">
        <w:t xml:space="preserve"> September 2017, all </w:t>
      </w:r>
      <w:r w:rsidR="002B0F30">
        <w:t>scale points</w:t>
      </w:r>
      <w:r w:rsidR="00017445">
        <w:t xml:space="preserve"> the leadership pay spine for East Sussex have been uplifted by 1 %, including the * values.</w:t>
      </w:r>
      <w:r w:rsidR="001E5814">
        <w:t xml:space="preserve">  From 1</w:t>
      </w:r>
      <w:r w:rsidR="001E5814" w:rsidRPr="00950DFC">
        <w:rPr>
          <w:vertAlign w:val="superscript"/>
        </w:rPr>
        <w:t>st</w:t>
      </w:r>
      <w:r w:rsidR="007059EA">
        <w:t xml:space="preserve"> September 2018, all</w:t>
      </w:r>
      <w:r w:rsidR="001E5814">
        <w:t xml:space="preserve"> points on the leadership pay spine for East Sussex </w:t>
      </w:r>
      <w:r w:rsidR="00775E50">
        <w:t>were</w:t>
      </w:r>
      <w:r w:rsidR="001E5814">
        <w:t xml:space="preserve"> uplifted by 1.5 %, including the * values.</w:t>
      </w:r>
      <w:r w:rsidR="00775E50">
        <w:t xml:space="preserve"> From 1</w:t>
      </w:r>
      <w:r w:rsidR="00775E50" w:rsidRPr="00C9262C">
        <w:rPr>
          <w:vertAlign w:val="superscript"/>
        </w:rPr>
        <w:t>st</w:t>
      </w:r>
      <w:r w:rsidR="00775E50">
        <w:t xml:space="preserve"> September 2019, all points on the leadership pay spine for East Sussex have been uplifted by 2.75 %.</w:t>
      </w:r>
      <w:r w:rsidR="00D05086">
        <w:t xml:space="preserve">  From 1</w:t>
      </w:r>
      <w:r w:rsidR="00D05086" w:rsidRPr="009B7634">
        <w:rPr>
          <w:vertAlign w:val="superscript"/>
        </w:rPr>
        <w:t>st</w:t>
      </w:r>
      <w:r w:rsidR="00D05086">
        <w:t xml:space="preserve"> September 2020, all points on the leadership pay spine for East Sussex have been uplifted by 2.75%.</w:t>
      </w:r>
    </w:p>
    <w:p w14:paraId="1E8E49F7" w14:textId="1394506B" w:rsidR="00B52006" w:rsidRDefault="007956F8" w:rsidP="004F311C">
      <w:pPr>
        <w:pStyle w:val="Numbered"/>
        <w:keepLines/>
        <w:numPr>
          <w:ilvl w:val="1"/>
          <w:numId w:val="14"/>
        </w:numPr>
        <w:spacing w:before="120"/>
        <w:ind w:left="567" w:hanging="567"/>
        <w:outlineLvl w:val="3"/>
      </w:pPr>
      <w:r w:rsidRPr="00B52006">
        <w:rPr>
          <w:rFonts w:cs="Arial"/>
        </w:rPr>
        <w:t xml:space="preserve">The pay range </w:t>
      </w:r>
      <w:r w:rsidR="00C75E08" w:rsidRPr="00B52006">
        <w:rPr>
          <w:rFonts w:cs="Arial"/>
        </w:rPr>
        <w:t xml:space="preserve">for the </w:t>
      </w:r>
      <w:r w:rsidR="00296CB1">
        <w:rPr>
          <w:rFonts w:cs="Arial"/>
        </w:rPr>
        <w:t xml:space="preserve">Executive </w:t>
      </w:r>
      <w:r w:rsidR="004859AE" w:rsidRPr="00B52006">
        <w:rPr>
          <w:rFonts w:cs="Arial"/>
        </w:rPr>
        <w:t>H</w:t>
      </w:r>
      <w:r w:rsidR="00C75E08" w:rsidRPr="00B52006">
        <w:rPr>
          <w:rFonts w:cs="Arial"/>
        </w:rPr>
        <w:t>eadteacher should not normally exceed the maximum of the headteacher group.</w:t>
      </w:r>
      <w:r w:rsidR="007D5A12" w:rsidRPr="00B52006">
        <w:rPr>
          <w:rFonts w:cs="Arial"/>
        </w:rPr>
        <w:t xml:space="preserve"> However, the </w:t>
      </w:r>
      <w:r w:rsidR="00D01FC0" w:rsidRPr="00B52006">
        <w:rPr>
          <w:rFonts w:cs="Arial"/>
        </w:rPr>
        <w:t>Governing board</w:t>
      </w:r>
      <w:r w:rsidR="007D5A12" w:rsidRPr="00B52006">
        <w:rPr>
          <w:rFonts w:cs="Arial"/>
        </w:rPr>
        <w:t xml:space="preserve"> may determine that there are specific circumstances to warrant a higher salary and may award an additional payment </w:t>
      </w:r>
      <w:r w:rsidR="007D5A12" w:rsidRPr="00B52006">
        <w:rPr>
          <w:rFonts w:cs="Arial"/>
          <w:b/>
          <w:u w:val="single"/>
        </w:rPr>
        <w:t>up to</w:t>
      </w:r>
      <w:r w:rsidR="007D5A12" w:rsidRPr="00B52006">
        <w:rPr>
          <w:rFonts w:cs="Arial"/>
        </w:rPr>
        <w:t xml:space="preserve"> 25% above the </w:t>
      </w:r>
      <w:r w:rsidR="00ED1142" w:rsidRPr="00B52006">
        <w:rPr>
          <w:rFonts w:cs="Arial"/>
        </w:rPr>
        <w:t xml:space="preserve">maximum for the </w:t>
      </w:r>
      <w:r w:rsidR="00296CB1">
        <w:rPr>
          <w:rFonts w:cs="Arial"/>
        </w:rPr>
        <w:t xml:space="preserve">executive </w:t>
      </w:r>
      <w:r w:rsidR="00ED1142" w:rsidRPr="00B52006">
        <w:rPr>
          <w:rFonts w:cs="Arial"/>
        </w:rPr>
        <w:t xml:space="preserve">headteacher </w:t>
      </w:r>
      <w:r w:rsidR="009E67E5" w:rsidRPr="00B52006">
        <w:rPr>
          <w:rFonts w:cs="Arial"/>
        </w:rPr>
        <w:t>group</w:t>
      </w:r>
      <w:r w:rsidR="00ED1142" w:rsidRPr="00B52006">
        <w:rPr>
          <w:rFonts w:cs="Arial"/>
        </w:rPr>
        <w:t>.</w:t>
      </w:r>
      <w:r w:rsidR="00E439B1" w:rsidRPr="00B52006">
        <w:rPr>
          <w:rFonts w:cs="Arial"/>
        </w:rPr>
        <w:t xml:space="preserve">  It should be wholly exceptional for the maximum of the pay range to be more that an additional 25 % higher than the maximum of the </w:t>
      </w:r>
      <w:r w:rsidR="00035792">
        <w:rPr>
          <w:rFonts w:cs="Arial"/>
        </w:rPr>
        <w:t xml:space="preserve">Executive </w:t>
      </w:r>
      <w:r w:rsidR="00E439B1" w:rsidRPr="00B52006">
        <w:rPr>
          <w:rFonts w:cs="Arial"/>
        </w:rPr>
        <w:t xml:space="preserve">Headteacher pay group.  If it is considered that there are exceptional circumstances that warrant an extension beyond that limit, the </w:t>
      </w:r>
      <w:r w:rsidR="00D01FC0" w:rsidRPr="00B52006">
        <w:rPr>
          <w:rFonts w:cs="Arial"/>
        </w:rPr>
        <w:t>Governing board</w:t>
      </w:r>
      <w:r w:rsidR="00E439B1" w:rsidRPr="00B52006">
        <w:rPr>
          <w:rFonts w:cs="Arial"/>
        </w:rPr>
        <w:t xml:space="preserve"> should prepare a business case and seek external independent advice from an appropriate person or body who can consider whether it is justifiable to exceed the limit in a particular case.  In addition, the </w:t>
      </w:r>
      <w:r w:rsidR="00D01FC0" w:rsidRPr="00B52006">
        <w:rPr>
          <w:rFonts w:cs="Arial"/>
        </w:rPr>
        <w:t>Governing board</w:t>
      </w:r>
      <w:r w:rsidR="00E439B1" w:rsidRPr="00B52006">
        <w:rPr>
          <w:rFonts w:cs="Arial"/>
        </w:rPr>
        <w:t xml:space="preserve"> should liaise with the Assistant Director of Education and ISEND before decisions are made. There should be a clear audit trail </w:t>
      </w:r>
      <w:r w:rsidR="00C52F56" w:rsidRPr="00B52006">
        <w:rPr>
          <w:rFonts w:cs="Arial"/>
        </w:rPr>
        <w:t xml:space="preserve">of </w:t>
      </w:r>
      <w:r w:rsidR="00E439B1" w:rsidRPr="00B52006">
        <w:rPr>
          <w:rFonts w:cs="Arial"/>
        </w:rPr>
        <w:t xml:space="preserve">advice </w:t>
      </w:r>
      <w:r w:rsidR="00C52F56" w:rsidRPr="00B52006">
        <w:rPr>
          <w:rFonts w:cs="Arial"/>
        </w:rPr>
        <w:t xml:space="preserve">obtained </w:t>
      </w:r>
      <w:r w:rsidR="00E439B1" w:rsidRPr="00B52006">
        <w:rPr>
          <w:rFonts w:cs="Arial"/>
        </w:rPr>
        <w:t>and a full an</w:t>
      </w:r>
      <w:r w:rsidR="00C52F56" w:rsidRPr="00B52006">
        <w:rPr>
          <w:rFonts w:cs="Arial"/>
        </w:rPr>
        <w:t>d</w:t>
      </w:r>
      <w:r w:rsidR="00B52006">
        <w:rPr>
          <w:rFonts w:cs="Arial"/>
        </w:rPr>
        <w:t xml:space="preserve"> accurate record </w:t>
      </w:r>
      <w:r w:rsidR="00E439B1" w:rsidRPr="00B52006">
        <w:rPr>
          <w:rFonts w:cs="Arial"/>
        </w:rPr>
        <w:t>of all decisions made and the reasoning behind them.</w:t>
      </w:r>
    </w:p>
    <w:p w14:paraId="53B852AF" w14:textId="35FD63FC" w:rsidR="00B52006" w:rsidRDefault="00ED1142" w:rsidP="004F311C">
      <w:pPr>
        <w:pStyle w:val="Numbered"/>
        <w:keepLines/>
        <w:numPr>
          <w:ilvl w:val="1"/>
          <w:numId w:val="14"/>
        </w:numPr>
        <w:spacing w:before="120"/>
        <w:ind w:left="567" w:hanging="567"/>
        <w:outlineLvl w:val="3"/>
      </w:pPr>
      <w:r w:rsidRPr="00B52006">
        <w:rPr>
          <w:rFonts w:cs="Arial"/>
        </w:rPr>
        <w:t xml:space="preserve">The maximum of a </w:t>
      </w:r>
      <w:r w:rsidR="004859AE" w:rsidRPr="00B52006">
        <w:rPr>
          <w:rFonts w:cs="Arial"/>
        </w:rPr>
        <w:t>H</w:t>
      </w:r>
      <w:r w:rsidRPr="00B52006">
        <w:rPr>
          <w:rFonts w:cs="Arial"/>
        </w:rPr>
        <w:t>ead</w:t>
      </w:r>
      <w:r w:rsidR="00035792">
        <w:rPr>
          <w:rFonts w:cs="Arial"/>
        </w:rPr>
        <w:t xml:space="preserve"> of School</w:t>
      </w:r>
      <w:r w:rsidRPr="00B52006">
        <w:rPr>
          <w:rFonts w:cs="Arial"/>
        </w:rPr>
        <w:t xml:space="preserve"> pay range must not exceed the maximum of the </w:t>
      </w:r>
      <w:r w:rsidR="00035792">
        <w:rPr>
          <w:rFonts w:cs="Arial"/>
        </w:rPr>
        <w:t xml:space="preserve">executive </w:t>
      </w:r>
      <w:r w:rsidRPr="00B52006">
        <w:rPr>
          <w:rFonts w:cs="Arial"/>
        </w:rPr>
        <w:t>h</w:t>
      </w:r>
      <w:r w:rsidR="00080FEE">
        <w:rPr>
          <w:rFonts w:cs="Arial"/>
        </w:rPr>
        <w:t xml:space="preserve">eadteacher group for the school and </w:t>
      </w:r>
      <w:r w:rsidRPr="00B52006">
        <w:rPr>
          <w:rFonts w:cs="Arial"/>
        </w:rPr>
        <w:t xml:space="preserve">should only overlap the </w:t>
      </w:r>
      <w:r w:rsidR="00035792">
        <w:rPr>
          <w:rFonts w:cs="Arial"/>
        </w:rPr>
        <w:t xml:space="preserve">executive </w:t>
      </w:r>
      <w:r w:rsidRPr="00B52006">
        <w:rPr>
          <w:rFonts w:cs="Arial"/>
        </w:rPr>
        <w:t>headteacher’s pay in exceptional circumstances.</w:t>
      </w:r>
    </w:p>
    <w:p w14:paraId="6148E820" w14:textId="77777777" w:rsidR="00B52006" w:rsidRDefault="00F43755" w:rsidP="004F311C">
      <w:pPr>
        <w:pStyle w:val="Numbered"/>
        <w:keepLines/>
        <w:numPr>
          <w:ilvl w:val="1"/>
          <w:numId w:val="14"/>
        </w:numPr>
        <w:spacing w:before="120"/>
        <w:ind w:left="567" w:hanging="567"/>
        <w:outlineLvl w:val="3"/>
      </w:pPr>
      <w:r w:rsidRPr="00B52006">
        <w:rPr>
          <w:rFonts w:cs="Arial"/>
        </w:rPr>
        <w:t xml:space="preserve">Please see </w:t>
      </w:r>
      <w:hyperlink w:anchor="_Appendix_F_–" w:history="1">
        <w:r w:rsidRPr="00B52006">
          <w:rPr>
            <w:rStyle w:val="Hyperlink"/>
            <w:rFonts w:cs="Arial"/>
          </w:rPr>
          <w:t xml:space="preserve">Appendix </w:t>
        </w:r>
        <w:r w:rsidR="00330B61" w:rsidRPr="00B52006">
          <w:rPr>
            <w:rStyle w:val="Hyperlink"/>
            <w:rFonts w:cs="Arial"/>
          </w:rPr>
          <w:t>F</w:t>
        </w:r>
      </w:hyperlink>
      <w:r w:rsidR="00330B61" w:rsidRPr="00B52006">
        <w:rPr>
          <w:rFonts w:cs="Arial"/>
        </w:rPr>
        <w:t xml:space="preserve"> </w:t>
      </w:r>
      <w:r w:rsidRPr="00B52006">
        <w:rPr>
          <w:rFonts w:cs="Arial"/>
        </w:rPr>
        <w:t xml:space="preserve">– leadership pay range, </w:t>
      </w:r>
      <w:r w:rsidR="007A2194" w:rsidRPr="00B52006">
        <w:rPr>
          <w:rFonts w:cs="Arial"/>
        </w:rPr>
        <w:t xml:space="preserve">showing </w:t>
      </w:r>
      <w:r w:rsidR="00B44D27" w:rsidRPr="00B52006">
        <w:rPr>
          <w:rFonts w:cs="Arial"/>
        </w:rPr>
        <w:t>nominal</w:t>
      </w:r>
      <w:r w:rsidRPr="00B52006">
        <w:rPr>
          <w:rFonts w:cs="Arial"/>
        </w:rPr>
        <w:t xml:space="preserve"> </w:t>
      </w:r>
      <w:r w:rsidR="007A2194" w:rsidRPr="00B52006">
        <w:rPr>
          <w:rFonts w:cs="Arial"/>
        </w:rPr>
        <w:t xml:space="preserve">reference </w:t>
      </w:r>
      <w:r w:rsidRPr="00B52006">
        <w:rPr>
          <w:rFonts w:cs="Arial"/>
        </w:rPr>
        <w:t>points</w:t>
      </w:r>
      <w:r w:rsidR="00B52006">
        <w:t>.</w:t>
      </w:r>
    </w:p>
    <w:p w14:paraId="44FE0AB0" w14:textId="77777777" w:rsidR="00663340" w:rsidRPr="0029565F" w:rsidRDefault="00663340" w:rsidP="004F311C">
      <w:pPr>
        <w:pStyle w:val="Numbered"/>
        <w:keepLines/>
        <w:numPr>
          <w:ilvl w:val="1"/>
          <w:numId w:val="14"/>
        </w:numPr>
        <w:spacing w:before="120"/>
        <w:ind w:left="567" w:hanging="567"/>
        <w:outlineLvl w:val="3"/>
      </w:pPr>
      <w:r w:rsidRPr="0029565F">
        <w:t xml:space="preserve">Please also refer to section 22 of the </w:t>
      </w:r>
      <w:r w:rsidR="005D70FF" w:rsidRPr="005D70FF">
        <w:rPr>
          <w:color w:val="0000FF"/>
        </w:rPr>
        <w:t>Supplementary guidance document</w:t>
      </w:r>
      <w:r w:rsidRPr="0029565F" w:rsidDel="000736AF">
        <w:t xml:space="preserve"> </w:t>
      </w:r>
      <w:r w:rsidRPr="0029565F">
        <w:t>for further information.</w:t>
      </w:r>
    </w:p>
    <w:p w14:paraId="60ECCD77" w14:textId="437968DB" w:rsidR="002C3689" w:rsidRPr="0029565F" w:rsidRDefault="00CD3494" w:rsidP="00B52006">
      <w:pPr>
        <w:pStyle w:val="Numbered"/>
        <w:keepLines/>
        <w:numPr>
          <w:ilvl w:val="0"/>
          <w:numId w:val="14"/>
        </w:numPr>
        <w:spacing w:before="120"/>
        <w:outlineLvl w:val="3"/>
        <w:rPr>
          <w:b/>
        </w:rPr>
      </w:pPr>
      <w:r w:rsidRPr="0029565F">
        <w:rPr>
          <w:b/>
        </w:rPr>
        <w:t>Temporary payments to</w:t>
      </w:r>
      <w:r w:rsidR="00035792">
        <w:rPr>
          <w:b/>
        </w:rPr>
        <w:t xml:space="preserve"> executive</w:t>
      </w:r>
      <w:r w:rsidRPr="0029565F">
        <w:rPr>
          <w:b/>
        </w:rPr>
        <w:t xml:space="preserve"> headteacher</w:t>
      </w:r>
      <w:r w:rsidR="002C3689" w:rsidRPr="0029565F">
        <w:rPr>
          <w:b/>
        </w:rPr>
        <w:t>s</w:t>
      </w:r>
    </w:p>
    <w:p w14:paraId="77932BAA" w14:textId="0992005B" w:rsidR="00B52006" w:rsidRDefault="00C25B64" w:rsidP="004F311C">
      <w:pPr>
        <w:pStyle w:val="Numbered"/>
        <w:keepLines/>
        <w:numPr>
          <w:ilvl w:val="1"/>
          <w:numId w:val="14"/>
        </w:numPr>
        <w:spacing w:before="120"/>
        <w:ind w:left="567" w:hanging="567"/>
        <w:outlineLvl w:val="3"/>
        <w:rPr>
          <w:rFonts w:cs="Arial"/>
        </w:rPr>
      </w:pPr>
      <w:r w:rsidRPr="0029565F">
        <w:rPr>
          <w:rFonts w:cs="Arial"/>
        </w:rPr>
        <w:t xml:space="preserve">The </w:t>
      </w:r>
      <w:r w:rsidR="00D01FC0">
        <w:rPr>
          <w:rFonts w:cs="Arial"/>
        </w:rPr>
        <w:t>Governing board</w:t>
      </w:r>
      <w:r w:rsidRPr="0029565F">
        <w:rPr>
          <w:rFonts w:cs="Arial"/>
        </w:rPr>
        <w:t xml:space="preserve"> may determine that </w:t>
      </w:r>
      <w:r w:rsidR="004859AE">
        <w:rPr>
          <w:rFonts w:cs="Arial"/>
        </w:rPr>
        <w:t xml:space="preserve">an </w:t>
      </w:r>
      <w:r w:rsidRPr="0029565F">
        <w:rPr>
          <w:rFonts w:cs="Arial"/>
        </w:rPr>
        <w:t xml:space="preserve">additional payment, </w:t>
      </w:r>
      <w:r w:rsidRPr="00B52006">
        <w:rPr>
          <w:rFonts w:cs="Arial"/>
        </w:rPr>
        <w:t>up to</w:t>
      </w:r>
      <w:r w:rsidRPr="0029565F">
        <w:rPr>
          <w:rFonts w:cs="Arial"/>
        </w:rPr>
        <w:t xml:space="preserve"> a maximum of 25% of the annual salary</w:t>
      </w:r>
      <w:r w:rsidR="004859AE">
        <w:rPr>
          <w:rFonts w:cs="Arial"/>
        </w:rPr>
        <w:t>,</w:t>
      </w:r>
      <w:r w:rsidR="005B74D4" w:rsidRPr="0029565F">
        <w:rPr>
          <w:rFonts w:cs="Arial"/>
        </w:rPr>
        <w:t xml:space="preserve"> is awarded</w:t>
      </w:r>
      <w:r w:rsidRPr="0029565F">
        <w:rPr>
          <w:rFonts w:cs="Arial"/>
        </w:rPr>
        <w:t xml:space="preserve"> </w:t>
      </w:r>
      <w:r w:rsidR="005B74D4" w:rsidRPr="0029565F">
        <w:rPr>
          <w:rFonts w:cs="Arial"/>
        </w:rPr>
        <w:t xml:space="preserve">if the </w:t>
      </w:r>
      <w:r w:rsidR="00035792">
        <w:rPr>
          <w:rFonts w:cs="Arial"/>
        </w:rPr>
        <w:t xml:space="preserve">Executive </w:t>
      </w:r>
      <w:r w:rsidR="004859AE">
        <w:rPr>
          <w:rFonts w:cs="Arial"/>
        </w:rPr>
        <w:t>H</w:t>
      </w:r>
      <w:r w:rsidR="005B74D4" w:rsidRPr="0029565F">
        <w:rPr>
          <w:rFonts w:cs="Arial"/>
        </w:rPr>
        <w:t xml:space="preserve">eadteacher takes on additional temporary responsibilities e.g. taking on </w:t>
      </w:r>
      <w:r w:rsidR="00901719">
        <w:rPr>
          <w:rFonts w:cs="Arial"/>
        </w:rPr>
        <w:t>additional temporary leadership responsibilities for another school(s)</w:t>
      </w:r>
      <w:r w:rsidR="00B52006">
        <w:rPr>
          <w:rFonts w:cs="Arial"/>
        </w:rPr>
        <w:t>.</w:t>
      </w:r>
    </w:p>
    <w:p w14:paraId="63FF0600" w14:textId="77777777" w:rsidR="00B52006" w:rsidRDefault="00F43755" w:rsidP="004F311C">
      <w:pPr>
        <w:pStyle w:val="Numbered"/>
        <w:keepLines/>
        <w:numPr>
          <w:ilvl w:val="1"/>
          <w:numId w:val="14"/>
        </w:numPr>
        <w:spacing w:before="120"/>
        <w:ind w:left="567" w:hanging="567"/>
        <w:outlineLvl w:val="3"/>
        <w:rPr>
          <w:rFonts w:cs="Arial"/>
        </w:rPr>
      </w:pPr>
      <w:r w:rsidRPr="00B52006">
        <w:rPr>
          <w:rFonts w:cs="Arial"/>
        </w:rPr>
        <w:t>Any adjustment to pay is temporary and safeguar</w:t>
      </w:r>
      <w:r w:rsidR="00B52006">
        <w:rPr>
          <w:rFonts w:cs="Arial"/>
        </w:rPr>
        <w:t>ding provisions will not apply.</w:t>
      </w:r>
    </w:p>
    <w:p w14:paraId="499627E8" w14:textId="2B90CCDD" w:rsidR="00B52006" w:rsidRPr="00B52006" w:rsidRDefault="006B1845" w:rsidP="004F311C">
      <w:pPr>
        <w:pStyle w:val="Numbered"/>
        <w:keepLines/>
        <w:numPr>
          <w:ilvl w:val="1"/>
          <w:numId w:val="14"/>
        </w:numPr>
        <w:spacing w:before="120"/>
        <w:ind w:left="567" w:hanging="567"/>
        <w:outlineLvl w:val="3"/>
        <w:rPr>
          <w:rFonts w:cs="Arial"/>
        </w:rPr>
      </w:pPr>
      <w:r w:rsidRPr="0029565F">
        <w:t xml:space="preserve">In wholly exceptional circumstances where the </w:t>
      </w:r>
      <w:r w:rsidR="00D01FC0">
        <w:t>Governing board</w:t>
      </w:r>
      <w:r w:rsidRPr="0029565F">
        <w:t xml:space="preserve"> determines that a discretionary payment </w:t>
      </w:r>
      <w:r w:rsidRPr="00B52006">
        <w:rPr>
          <w:b/>
          <w:u w:val="single"/>
        </w:rPr>
        <w:t>in excess</w:t>
      </w:r>
      <w:r w:rsidRPr="0029565F">
        <w:t xml:space="preserve"> of 25% is appropriate should be awarded to the </w:t>
      </w:r>
      <w:r w:rsidR="00035792">
        <w:t xml:space="preserve">Executive </w:t>
      </w:r>
      <w:r w:rsidR="004859AE">
        <w:t>H</w:t>
      </w:r>
      <w:r w:rsidRPr="0029565F">
        <w:t>eadteacher</w:t>
      </w:r>
      <w:r w:rsidR="005773EF" w:rsidRPr="0029565F">
        <w:t xml:space="preserve">, the </w:t>
      </w:r>
      <w:r w:rsidR="00D01FC0">
        <w:t>Governing board</w:t>
      </w:r>
      <w:r w:rsidR="00191EBD" w:rsidRPr="0029565F">
        <w:t xml:space="preserve"> will</w:t>
      </w:r>
      <w:r w:rsidRPr="0029565F">
        <w:t xml:space="preserve"> seek external independent advice and liaise with </w:t>
      </w:r>
      <w:r w:rsidRPr="00B52006">
        <w:rPr>
          <w:rFonts w:cs="Arial"/>
        </w:rPr>
        <w:t>the Assistant Director (</w:t>
      </w:r>
      <w:r w:rsidR="00182BBE" w:rsidRPr="00B52006">
        <w:rPr>
          <w:rFonts w:cs="Arial"/>
        </w:rPr>
        <w:t>Education and ISEND</w:t>
      </w:r>
      <w:r w:rsidRPr="00B52006">
        <w:rPr>
          <w:rFonts w:cs="Arial"/>
        </w:rPr>
        <w:t xml:space="preserve">) </w:t>
      </w:r>
      <w:r w:rsidRPr="0029565F">
        <w:t xml:space="preserve">before agreeing </w:t>
      </w:r>
      <w:r w:rsidR="002637A8" w:rsidRPr="0029565F">
        <w:t xml:space="preserve">and awarding </w:t>
      </w:r>
      <w:r w:rsidRPr="0029565F">
        <w:t>any such payment</w:t>
      </w:r>
      <w:r w:rsidR="00B52006">
        <w:t>.</w:t>
      </w:r>
    </w:p>
    <w:p w14:paraId="2085DD6E" w14:textId="77777777" w:rsidR="00A9630F" w:rsidRPr="00B52006" w:rsidRDefault="00A9630F" w:rsidP="004F311C">
      <w:pPr>
        <w:pStyle w:val="Numbered"/>
        <w:keepLines/>
        <w:numPr>
          <w:ilvl w:val="1"/>
          <w:numId w:val="14"/>
        </w:numPr>
        <w:spacing w:before="120"/>
        <w:ind w:left="567" w:hanging="567"/>
        <w:outlineLvl w:val="3"/>
        <w:rPr>
          <w:rFonts w:cs="Arial"/>
        </w:rPr>
      </w:pPr>
      <w:r w:rsidRPr="0029565F">
        <w:t>Please also refer to section 2</w:t>
      </w:r>
      <w:r w:rsidR="00A041E7">
        <w:t>6</w:t>
      </w:r>
      <w:r w:rsidRPr="0029565F">
        <w:t xml:space="preserve"> of the </w:t>
      </w:r>
      <w:r w:rsidR="005D70FF" w:rsidRPr="005D70FF">
        <w:rPr>
          <w:color w:val="0000FF"/>
        </w:rPr>
        <w:t>Supplementary guidance document</w:t>
      </w:r>
      <w:r w:rsidRPr="0029565F" w:rsidDel="000736AF">
        <w:t xml:space="preserve"> </w:t>
      </w:r>
      <w:r w:rsidRPr="0029565F">
        <w:t>for further information.</w:t>
      </w:r>
    </w:p>
    <w:p w14:paraId="4A8C78E3" w14:textId="77777777" w:rsidR="002C3689" w:rsidRPr="0029565F" w:rsidRDefault="005B74D4" w:rsidP="00B52006">
      <w:pPr>
        <w:pStyle w:val="Numbered"/>
        <w:keepLines/>
        <w:numPr>
          <w:ilvl w:val="0"/>
          <w:numId w:val="14"/>
        </w:numPr>
        <w:spacing w:before="120"/>
        <w:outlineLvl w:val="3"/>
        <w:rPr>
          <w:b/>
        </w:rPr>
      </w:pPr>
      <w:bookmarkStart w:id="49" w:name="_Toc397434748"/>
      <w:bookmarkStart w:id="50" w:name="_Toc397434918"/>
      <w:bookmarkStart w:id="51" w:name="_Toc397435011"/>
      <w:bookmarkStart w:id="52" w:name="_Toc397435089"/>
      <w:bookmarkStart w:id="53" w:name="_Toc397435132"/>
      <w:bookmarkStart w:id="54" w:name="_Toc397436682"/>
      <w:bookmarkStart w:id="55" w:name="_Toc397437107"/>
      <w:bookmarkStart w:id="56" w:name="_Toc397437266"/>
      <w:bookmarkStart w:id="57" w:name="_Toc397437375"/>
      <w:bookmarkEnd w:id="49"/>
      <w:bookmarkEnd w:id="50"/>
      <w:bookmarkEnd w:id="51"/>
      <w:bookmarkEnd w:id="52"/>
      <w:bookmarkEnd w:id="53"/>
      <w:bookmarkEnd w:id="54"/>
      <w:bookmarkEnd w:id="55"/>
      <w:bookmarkEnd w:id="56"/>
      <w:bookmarkEnd w:id="57"/>
      <w:r w:rsidRPr="0029565F">
        <w:rPr>
          <w:b/>
        </w:rPr>
        <w:t>Pay progression for the leadership group</w:t>
      </w:r>
    </w:p>
    <w:p w14:paraId="0A067196" w14:textId="0C974FDF" w:rsidR="00B52006" w:rsidRDefault="00D31657" w:rsidP="004F311C">
      <w:pPr>
        <w:pStyle w:val="Numbered"/>
        <w:keepLines/>
        <w:numPr>
          <w:ilvl w:val="1"/>
          <w:numId w:val="14"/>
        </w:numPr>
        <w:spacing w:before="120"/>
        <w:ind w:left="567" w:hanging="567"/>
        <w:outlineLvl w:val="3"/>
        <w:rPr>
          <w:rFonts w:cs="Arial"/>
        </w:rPr>
      </w:pPr>
      <w:r w:rsidRPr="0029565F">
        <w:rPr>
          <w:rFonts w:cs="Arial"/>
        </w:rPr>
        <w:t xml:space="preserve">The </w:t>
      </w:r>
      <w:r w:rsidR="00D01FC0">
        <w:rPr>
          <w:rFonts w:cs="Arial"/>
        </w:rPr>
        <w:t>Governing board</w:t>
      </w:r>
      <w:r w:rsidRPr="0029565F">
        <w:rPr>
          <w:rFonts w:cs="Arial"/>
        </w:rPr>
        <w:t xml:space="preserve"> must consider annually whether or not to increase the salary of members of the leadership group who have completed a year of employment since t</w:t>
      </w:r>
      <w:r w:rsidR="00B52006">
        <w:rPr>
          <w:rFonts w:cs="Arial"/>
        </w:rPr>
        <w:t xml:space="preserve">he previous pay determination. </w:t>
      </w:r>
      <w:r w:rsidR="00901719">
        <w:rPr>
          <w:rFonts w:cs="Arial"/>
        </w:rPr>
        <w:t xml:space="preserve">The </w:t>
      </w:r>
      <w:r w:rsidR="00D01FC0">
        <w:rPr>
          <w:rFonts w:cs="Arial"/>
        </w:rPr>
        <w:t>Governing board</w:t>
      </w:r>
      <w:r w:rsidR="00901719">
        <w:rPr>
          <w:rFonts w:cs="Arial"/>
        </w:rPr>
        <w:t xml:space="preserve"> will take account of Section 2 of the STPCD 20</w:t>
      </w:r>
      <w:r w:rsidR="00D05086">
        <w:rPr>
          <w:rFonts w:cs="Arial"/>
        </w:rPr>
        <w:t>20</w:t>
      </w:r>
      <w:r w:rsidR="00901719">
        <w:rPr>
          <w:rFonts w:cs="Arial"/>
        </w:rPr>
        <w:t xml:space="preserve"> together with the DfE guidance document </w:t>
      </w:r>
      <w:r w:rsidR="00901719" w:rsidRPr="00B52006">
        <w:rPr>
          <w:rFonts w:cs="Arial"/>
          <w:color w:val="0000FF"/>
        </w:rPr>
        <w:t>Implementing your school’s approach to pay</w:t>
      </w:r>
      <w:r w:rsidR="00901719">
        <w:rPr>
          <w:rFonts w:cs="Arial"/>
        </w:rPr>
        <w:t xml:space="preserve"> </w:t>
      </w:r>
      <w:r w:rsidR="00775E50">
        <w:rPr>
          <w:rFonts w:cs="Arial"/>
        </w:rPr>
        <w:t>March 2019</w:t>
      </w:r>
      <w:r w:rsidR="00017445">
        <w:rPr>
          <w:rFonts w:cs="Arial"/>
        </w:rPr>
        <w:t>.</w:t>
      </w:r>
    </w:p>
    <w:p w14:paraId="34404828" w14:textId="77777777" w:rsidR="00B52006" w:rsidRDefault="00EA4C3E" w:rsidP="00B52006">
      <w:pPr>
        <w:pStyle w:val="Numbered"/>
        <w:keepLines/>
        <w:numPr>
          <w:ilvl w:val="1"/>
          <w:numId w:val="14"/>
        </w:numPr>
        <w:spacing w:before="120"/>
        <w:ind w:left="567" w:hanging="567"/>
        <w:outlineLvl w:val="3"/>
        <w:rPr>
          <w:rFonts w:cs="Arial"/>
        </w:rPr>
      </w:pPr>
      <w:r w:rsidRPr="00B52006">
        <w:rPr>
          <w:rFonts w:cs="Arial"/>
        </w:rPr>
        <w:t xml:space="preserve">The </w:t>
      </w:r>
      <w:r w:rsidR="00D01FC0" w:rsidRPr="00B52006">
        <w:rPr>
          <w:rFonts w:cs="Arial"/>
        </w:rPr>
        <w:t>Governing board</w:t>
      </w:r>
      <w:r w:rsidRPr="00B52006">
        <w:rPr>
          <w:rFonts w:cs="Arial"/>
        </w:rPr>
        <w:t xml:space="preserve"> will determine the new salary within the relevant pay range </w:t>
      </w:r>
      <w:r w:rsidR="002E2486" w:rsidRPr="00B52006">
        <w:rPr>
          <w:rFonts w:cs="Arial"/>
        </w:rPr>
        <w:t>if performance</w:t>
      </w:r>
      <w:r w:rsidRPr="00B52006">
        <w:rPr>
          <w:rFonts w:cs="Arial"/>
        </w:rPr>
        <w:t xml:space="preserve"> related pa</w:t>
      </w:r>
      <w:r w:rsidR="00B52006">
        <w:rPr>
          <w:rFonts w:cs="Arial"/>
        </w:rPr>
        <w:t>y progression is to be awarded.</w:t>
      </w:r>
    </w:p>
    <w:p w14:paraId="211CF702" w14:textId="77777777" w:rsidR="00B52006" w:rsidRDefault="00EA4C3E" w:rsidP="004F311C">
      <w:pPr>
        <w:pStyle w:val="Numbered"/>
        <w:keepLines/>
        <w:numPr>
          <w:ilvl w:val="1"/>
          <w:numId w:val="14"/>
        </w:numPr>
        <w:spacing w:before="120"/>
        <w:ind w:left="567" w:hanging="567"/>
        <w:outlineLvl w:val="3"/>
        <w:rPr>
          <w:rFonts w:cs="Arial"/>
        </w:rPr>
      </w:pPr>
      <w:r w:rsidRPr="00B52006">
        <w:rPr>
          <w:rFonts w:cs="Arial"/>
        </w:rPr>
        <w:t>Decisions</w:t>
      </w:r>
      <w:r w:rsidR="00D31657" w:rsidRPr="00B52006">
        <w:rPr>
          <w:rFonts w:cs="Arial"/>
        </w:rPr>
        <w:t xml:space="preserve"> will be properly rooted in evidence and </w:t>
      </w:r>
      <w:r w:rsidRPr="00B52006">
        <w:rPr>
          <w:rFonts w:cs="Arial"/>
        </w:rPr>
        <w:t xml:space="preserve">will be clearly linked to the </w:t>
      </w:r>
      <w:r w:rsidR="00B52006">
        <w:rPr>
          <w:rFonts w:cs="Arial"/>
        </w:rPr>
        <w:t xml:space="preserve">performance of the individual. </w:t>
      </w:r>
      <w:r w:rsidRPr="00B52006">
        <w:rPr>
          <w:rFonts w:cs="Arial"/>
        </w:rPr>
        <w:t xml:space="preserve">The </w:t>
      </w:r>
      <w:r w:rsidR="00D01FC0" w:rsidRPr="00B52006">
        <w:rPr>
          <w:rFonts w:cs="Arial"/>
        </w:rPr>
        <w:t>Governing board</w:t>
      </w:r>
      <w:r w:rsidRPr="00B52006">
        <w:rPr>
          <w:rFonts w:cs="Arial"/>
        </w:rPr>
        <w:t xml:space="preserve"> will have</w:t>
      </w:r>
      <w:r w:rsidR="00D31657" w:rsidRPr="00B52006">
        <w:rPr>
          <w:rFonts w:cs="Arial"/>
        </w:rPr>
        <w:t xml:space="preserve"> regard to the most recent appraisal</w:t>
      </w:r>
      <w:r w:rsidRPr="00B52006">
        <w:rPr>
          <w:rFonts w:cs="Arial"/>
        </w:rPr>
        <w:t xml:space="preserve"> and a recommendation on pay must be contained within the appraisal document.</w:t>
      </w:r>
    </w:p>
    <w:p w14:paraId="6F3CBE59" w14:textId="77777777" w:rsidR="00B52006" w:rsidRDefault="00EA4C3E" w:rsidP="004F311C">
      <w:pPr>
        <w:pStyle w:val="Numbered"/>
        <w:keepLines/>
        <w:numPr>
          <w:ilvl w:val="1"/>
          <w:numId w:val="14"/>
        </w:numPr>
        <w:spacing w:before="120"/>
        <w:ind w:left="567" w:hanging="567"/>
        <w:outlineLvl w:val="3"/>
        <w:rPr>
          <w:rFonts w:cs="Arial"/>
        </w:rPr>
      </w:pPr>
      <w:r w:rsidRPr="00B52006">
        <w:rPr>
          <w:rFonts w:cs="Arial"/>
        </w:rPr>
        <w:t>Sustained high quality performance should give the individual an expectation of progression up their pay range.</w:t>
      </w:r>
    </w:p>
    <w:p w14:paraId="085F4622" w14:textId="77777777" w:rsidR="00A9630F" w:rsidRPr="00B52006" w:rsidRDefault="00A9630F" w:rsidP="004F311C">
      <w:pPr>
        <w:pStyle w:val="Numbered"/>
        <w:keepLines/>
        <w:numPr>
          <w:ilvl w:val="1"/>
          <w:numId w:val="14"/>
        </w:numPr>
        <w:spacing w:before="120"/>
        <w:ind w:left="567" w:hanging="567"/>
        <w:outlineLvl w:val="3"/>
        <w:rPr>
          <w:rFonts w:cs="Arial"/>
        </w:rPr>
      </w:pPr>
      <w:r w:rsidRPr="0029565F">
        <w:t xml:space="preserve">Please also refer to section 24 of the </w:t>
      </w:r>
      <w:r w:rsidR="005D70FF" w:rsidRPr="005D70FF">
        <w:rPr>
          <w:color w:val="0000FF"/>
        </w:rPr>
        <w:t>Supplementary guidance document</w:t>
      </w:r>
      <w:r w:rsidRPr="0029565F" w:rsidDel="000736AF">
        <w:t xml:space="preserve"> </w:t>
      </w:r>
      <w:r w:rsidRPr="0029565F">
        <w:t>for further information.</w:t>
      </w:r>
    </w:p>
    <w:p w14:paraId="4A124C1C" w14:textId="6E2937E4" w:rsidR="002C3689" w:rsidRPr="0029565F" w:rsidRDefault="002C3689" w:rsidP="00B52006">
      <w:pPr>
        <w:pStyle w:val="Numbered"/>
        <w:keepLines/>
        <w:numPr>
          <w:ilvl w:val="0"/>
          <w:numId w:val="14"/>
        </w:numPr>
        <w:spacing w:before="120"/>
        <w:outlineLvl w:val="3"/>
        <w:rPr>
          <w:b/>
        </w:rPr>
      </w:pPr>
      <w:r w:rsidRPr="0029565F">
        <w:rPr>
          <w:b/>
        </w:rPr>
        <w:t xml:space="preserve">Headteacher appointed as a temporary </w:t>
      </w:r>
      <w:r w:rsidR="00D63665">
        <w:rPr>
          <w:b/>
        </w:rPr>
        <w:t xml:space="preserve">Headteacher </w:t>
      </w:r>
      <w:r w:rsidRPr="0029565F">
        <w:rPr>
          <w:b/>
        </w:rPr>
        <w:t>of one or more</w:t>
      </w:r>
      <w:r w:rsidR="00C971B3" w:rsidRPr="0029565F">
        <w:rPr>
          <w:b/>
        </w:rPr>
        <w:t xml:space="preserve"> </w:t>
      </w:r>
      <w:r w:rsidRPr="0029565F">
        <w:rPr>
          <w:b/>
        </w:rPr>
        <w:t>additional schools.</w:t>
      </w:r>
    </w:p>
    <w:p w14:paraId="3AFEAC22" w14:textId="2601941A" w:rsidR="00B52006" w:rsidRDefault="002C3689" w:rsidP="004F311C">
      <w:pPr>
        <w:pStyle w:val="Numbered"/>
        <w:keepLines/>
        <w:numPr>
          <w:ilvl w:val="1"/>
          <w:numId w:val="14"/>
        </w:numPr>
        <w:spacing w:before="120"/>
        <w:ind w:left="567" w:hanging="567"/>
        <w:outlineLvl w:val="3"/>
        <w:rPr>
          <w:rFonts w:cs="Arial"/>
        </w:rPr>
      </w:pPr>
      <w:r w:rsidRPr="0029565F">
        <w:rPr>
          <w:rFonts w:cs="Arial"/>
        </w:rPr>
        <w:t xml:space="preserve">The Local Authority will advise governors on the pay of a </w:t>
      </w:r>
      <w:r w:rsidR="004859AE">
        <w:rPr>
          <w:rFonts w:cs="Arial"/>
        </w:rPr>
        <w:t>H</w:t>
      </w:r>
      <w:r w:rsidRPr="0029565F">
        <w:rPr>
          <w:rFonts w:cs="Arial"/>
        </w:rPr>
        <w:t>ead</w:t>
      </w:r>
      <w:r w:rsidR="00D63665">
        <w:rPr>
          <w:rFonts w:cs="Arial"/>
        </w:rPr>
        <w:t>teacher</w:t>
      </w:r>
      <w:r w:rsidRPr="0029565F">
        <w:rPr>
          <w:rFonts w:cs="Arial"/>
        </w:rPr>
        <w:t xml:space="preserve"> who is appointed as temporary </w:t>
      </w:r>
      <w:r w:rsidR="00964BD1" w:rsidRPr="0029565F">
        <w:rPr>
          <w:rFonts w:cs="Arial"/>
        </w:rPr>
        <w:t xml:space="preserve">Acting </w:t>
      </w:r>
      <w:r w:rsidRPr="0029565F">
        <w:rPr>
          <w:rFonts w:cs="Arial"/>
        </w:rPr>
        <w:t>Headteacher</w:t>
      </w:r>
      <w:r w:rsidR="00964BD1" w:rsidRPr="0029565F">
        <w:rPr>
          <w:rFonts w:cs="Arial"/>
        </w:rPr>
        <w:t xml:space="preserve"> or as the </w:t>
      </w:r>
      <w:r w:rsidRPr="0029565F">
        <w:rPr>
          <w:rFonts w:cs="Arial"/>
        </w:rPr>
        <w:t>Executive Headteacher of one or more additional schools, to ensure the pay for the role is appropriate and affordable</w:t>
      </w:r>
      <w:r w:rsidR="00B52006">
        <w:rPr>
          <w:rFonts w:cs="Arial"/>
        </w:rPr>
        <w:t>.</w:t>
      </w:r>
    </w:p>
    <w:p w14:paraId="571E65A6" w14:textId="77777777" w:rsidR="00B52006" w:rsidRPr="00B52006" w:rsidRDefault="007677EB" w:rsidP="004F311C">
      <w:pPr>
        <w:pStyle w:val="Numbered"/>
        <w:keepLines/>
        <w:numPr>
          <w:ilvl w:val="1"/>
          <w:numId w:val="14"/>
        </w:numPr>
        <w:spacing w:before="120"/>
        <w:ind w:left="567" w:hanging="567"/>
        <w:outlineLvl w:val="3"/>
        <w:rPr>
          <w:rFonts w:cs="Arial"/>
        </w:rPr>
      </w:pPr>
      <w:r w:rsidRPr="0029565F">
        <w:t>Set out below is a preferred framework which will form the basis of pay considerations when a Headteacher undertakes a tempora</w:t>
      </w:r>
      <w:r w:rsidR="00B52006">
        <w:t>ry Executive Headteacher role.</w:t>
      </w:r>
    </w:p>
    <w:p w14:paraId="442E6E37" w14:textId="77777777" w:rsidR="00B52006" w:rsidRDefault="007E7E93" w:rsidP="004F311C">
      <w:pPr>
        <w:pStyle w:val="Numbered"/>
        <w:keepLines/>
        <w:numPr>
          <w:ilvl w:val="1"/>
          <w:numId w:val="14"/>
        </w:numPr>
        <w:spacing w:before="120"/>
        <w:ind w:left="567" w:hanging="567"/>
        <w:outlineLvl w:val="3"/>
        <w:rPr>
          <w:rFonts w:cs="Arial"/>
        </w:rPr>
      </w:pPr>
      <w:r w:rsidRPr="0029565F">
        <w:t xml:space="preserve">The </w:t>
      </w:r>
      <w:r w:rsidR="00D01FC0">
        <w:t>Governing board</w:t>
      </w:r>
      <w:r w:rsidRPr="0029565F">
        <w:t xml:space="preserve"> will liaise with the Local Authority and the </w:t>
      </w:r>
      <w:r w:rsidR="00D01FC0">
        <w:t>Governing board</w:t>
      </w:r>
      <w:r w:rsidRPr="0029565F">
        <w:t xml:space="preserve"> of the </w:t>
      </w:r>
      <w:r w:rsidR="00CE0782" w:rsidRPr="0029565F">
        <w:t xml:space="preserve">school(s) to which the </w:t>
      </w:r>
      <w:r w:rsidR="004859AE">
        <w:t>H</w:t>
      </w:r>
      <w:r w:rsidR="00CE0782" w:rsidRPr="0029565F">
        <w:t xml:space="preserve">eadteacher is to be appointed to agree an appropriate salary. The terms of the partnership arrangement </w:t>
      </w:r>
      <w:r w:rsidR="007C40AF" w:rsidRPr="0029565F">
        <w:t xml:space="preserve">between the schools </w:t>
      </w:r>
      <w:r w:rsidR="00CE0782" w:rsidRPr="0029565F">
        <w:t>will be set out in writing</w:t>
      </w:r>
      <w:r w:rsidR="007C40AF" w:rsidRPr="0029565F">
        <w:t>.</w:t>
      </w:r>
    </w:p>
    <w:p w14:paraId="444716D0" w14:textId="77777777" w:rsidR="00B52006" w:rsidRPr="00B52006" w:rsidRDefault="00CE0782" w:rsidP="004F311C">
      <w:pPr>
        <w:pStyle w:val="Numbered"/>
        <w:keepLines/>
        <w:numPr>
          <w:ilvl w:val="1"/>
          <w:numId w:val="14"/>
        </w:numPr>
        <w:spacing w:before="120"/>
        <w:ind w:left="567" w:hanging="567"/>
        <w:outlineLvl w:val="3"/>
        <w:rPr>
          <w:rFonts w:cs="Arial"/>
        </w:rPr>
      </w:pPr>
      <w:r w:rsidRPr="0029565F">
        <w:t xml:space="preserve">The combined pupil </w:t>
      </w:r>
      <w:r w:rsidR="007C40AF" w:rsidRPr="0029565F">
        <w:t>units</w:t>
      </w:r>
      <w:r w:rsidRPr="0029565F">
        <w:t xml:space="preserve"> </w:t>
      </w:r>
      <w:r w:rsidR="007C40AF" w:rsidRPr="0029565F">
        <w:t xml:space="preserve">of all the schools </w:t>
      </w:r>
      <w:r w:rsidRPr="0029565F">
        <w:t xml:space="preserve">will be </w:t>
      </w:r>
      <w:r w:rsidR="007C40AF" w:rsidRPr="0029565F">
        <w:t xml:space="preserve">calculated and </w:t>
      </w:r>
      <w:r w:rsidRPr="0029565F">
        <w:t xml:space="preserve">used as the starting point </w:t>
      </w:r>
      <w:r w:rsidR="007C40AF" w:rsidRPr="0029565F">
        <w:t>to</w:t>
      </w:r>
      <w:r w:rsidRPr="0029565F">
        <w:t xml:space="preserve"> the relevant school group pay range.</w:t>
      </w:r>
    </w:p>
    <w:p w14:paraId="7642F370" w14:textId="77777777" w:rsidR="00CE0782" w:rsidRPr="00B52006" w:rsidRDefault="00CE0782" w:rsidP="004F311C">
      <w:pPr>
        <w:pStyle w:val="Numbered"/>
        <w:keepLines/>
        <w:numPr>
          <w:ilvl w:val="1"/>
          <w:numId w:val="14"/>
        </w:numPr>
        <w:spacing w:before="120"/>
        <w:ind w:left="567" w:hanging="567"/>
        <w:outlineLvl w:val="3"/>
        <w:rPr>
          <w:rFonts w:cs="Arial"/>
        </w:rPr>
      </w:pPr>
      <w:r w:rsidRPr="0029565F">
        <w:t xml:space="preserve">In addition, the </w:t>
      </w:r>
      <w:r w:rsidR="00D01FC0">
        <w:t>Governing board</w:t>
      </w:r>
      <w:r w:rsidRPr="0029565F">
        <w:t xml:space="preserve"> will also consider the specific context and challenges of the school(s) to which the headteacher is to be appointed. This may include:</w:t>
      </w:r>
    </w:p>
    <w:p w14:paraId="018213A4" w14:textId="2E7F2810" w:rsidR="00CE0782" w:rsidRPr="0029565F" w:rsidRDefault="00340585" w:rsidP="00606949">
      <w:pPr>
        <w:pStyle w:val="Numbered"/>
        <w:keepLines/>
        <w:numPr>
          <w:ilvl w:val="0"/>
          <w:numId w:val="31"/>
        </w:numPr>
        <w:tabs>
          <w:tab w:val="left" w:pos="990"/>
        </w:tabs>
        <w:spacing w:after="0"/>
        <w:ind w:left="994"/>
        <w:outlineLvl w:val="3"/>
        <w:rPr>
          <w:rFonts w:cs="Arial"/>
        </w:rPr>
      </w:pPr>
      <w:r w:rsidRPr="0029565F">
        <w:rPr>
          <w:rFonts w:cs="Arial"/>
        </w:rPr>
        <w:t>Social</w:t>
      </w:r>
      <w:r w:rsidR="00CE0782" w:rsidRPr="0029565F">
        <w:rPr>
          <w:rFonts w:cs="Arial"/>
        </w:rPr>
        <w:t xml:space="preserve"> or economic issues</w:t>
      </w:r>
      <w:r w:rsidR="00B52006">
        <w:rPr>
          <w:rFonts w:cs="Arial"/>
        </w:rPr>
        <w:t>;</w:t>
      </w:r>
    </w:p>
    <w:p w14:paraId="7638291B" w14:textId="77777777" w:rsidR="00CE0782" w:rsidRPr="0029565F" w:rsidRDefault="00CE0782" w:rsidP="00606949">
      <w:pPr>
        <w:pStyle w:val="Numbered"/>
        <w:keepLines/>
        <w:numPr>
          <w:ilvl w:val="0"/>
          <w:numId w:val="31"/>
        </w:numPr>
        <w:tabs>
          <w:tab w:val="left" w:pos="990"/>
        </w:tabs>
        <w:spacing w:after="0"/>
        <w:ind w:left="994"/>
        <w:outlineLvl w:val="3"/>
        <w:rPr>
          <w:rFonts w:cs="Arial"/>
        </w:rPr>
      </w:pPr>
      <w:r w:rsidRPr="0029565F">
        <w:rPr>
          <w:rFonts w:cs="Arial"/>
        </w:rPr>
        <w:t>Number of pupil premium pupils</w:t>
      </w:r>
      <w:r w:rsidR="00B52006">
        <w:rPr>
          <w:rFonts w:cs="Arial"/>
        </w:rPr>
        <w:t>;</w:t>
      </w:r>
    </w:p>
    <w:p w14:paraId="638DE94B" w14:textId="77777777" w:rsidR="00CE0782" w:rsidRPr="0029565F" w:rsidRDefault="00CE0782" w:rsidP="00606949">
      <w:pPr>
        <w:pStyle w:val="Numbered"/>
        <w:keepLines/>
        <w:numPr>
          <w:ilvl w:val="0"/>
          <w:numId w:val="31"/>
        </w:numPr>
        <w:tabs>
          <w:tab w:val="left" w:pos="990"/>
        </w:tabs>
        <w:spacing w:after="0"/>
        <w:ind w:left="994"/>
        <w:outlineLvl w:val="3"/>
        <w:rPr>
          <w:rFonts w:cs="Arial"/>
        </w:rPr>
      </w:pPr>
      <w:r w:rsidRPr="0029565F">
        <w:rPr>
          <w:rFonts w:cs="Arial"/>
        </w:rPr>
        <w:t>Recruitment or retention difficulties</w:t>
      </w:r>
      <w:r w:rsidR="00B52006">
        <w:rPr>
          <w:rFonts w:cs="Arial"/>
        </w:rPr>
        <w:t>;</w:t>
      </w:r>
    </w:p>
    <w:p w14:paraId="563BCA9F" w14:textId="77777777" w:rsidR="00CE0782" w:rsidRPr="0029565F" w:rsidRDefault="007C40AF" w:rsidP="00606949">
      <w:pPr>
        <w:pStyle w:val="Numbered"/>
        <w:keepLines/>
        <w:numPr>
          <w:ilvl w:val="0"/>
          <w:numId w:val="31"/>
        </w:numPr>
        <w:tabs>
          <w:tab w:val="left" w:pos="990"/>
        </w:tabs>
        <w:spacing w:after="0"/>
        <w:ind w:left="994"/>
        <w:outlineLvl w:val="3"/>
        <w:rPr>
          <w:rFonts w:cs="Arial"/>
        </w:rPr>
      </w:pPr>
      <w:r w:rsidRPr="0029565F">
        <w:rPr>
          <w:rFonts w:cs="Arial"/>
        </w:rPr>
        <w:t xml:space="preserve">The </w:t>
      </w:r>
      <w:r w:rsidR="00CE0782" w:rsidRPr="0029565F">
        <w:rPr>
          <w:rFonts w:cs="Arial"/>
        </w:rPr>
        <w:t>Ofsted category</w:t>
      </w:r>
      <w:r w:rsidR="00B52006">
        <w:rPr>
          <w:rFonts w:cs="Arial"/>
        </w:rPr>
        <w:t>;</w:t>
      </w:r>
    </w:p>
    <w:p w14:paraId="4ED91093" w14:textId="77777777" w:rsidR="00FD44CC" w:rsidRPr="0029565F" w:rsidRDefault="00FD44CC" w:rsidP="00606949">
      <w:pPr>
        <w:pStyle w:val="Numbered"/>
        <w:keepLines/>
        <w:numPr>
          <w:ilvl w:val="0"/>
          <w:numId w:val="31"/>
        </w:numPr>
        <w:tabs>
          <w:tab w:val="left" w:pos="990"/>
        </w:tabs>
        <w:spacing w:after="0"/>
        <w:ind w:left="994"/>
        <w:outlineLvl w:val="3"/>
        <w:rPr>
          <w:rFonts w:cs="Arial"/>
        </w:rPr>
      </w:pPr>
      <w:r w:rsidRPr="0029565F">
        <w:rPr>
          <w:rFonts w:cs="Arial"/>
        </w:rPr>
        <w:t>Capacity within the existing senior leadership team</w:t>
      </w:r>
      <w:r w:rsidR="00B52006">
        <w:rPr>
          <w:rFonts w:cs="Arial"/>
        </w:rPr>
        <w:t>;</w:t>
      </w:r>
    </w:p>
    <w:p w14:paraId="785DB6EF" w14:textId="77777777" w:rsidR="0005285D" w:rsidRPr="0029565F" w:rsidRDefault="0005285D" w:rsidP="00606949">
      <w:pPr>
        <w:pStyle w:val="Numbered"/>
        <w:keepLines/>
        <w:numPr>
          <w:ilvl w:val="0"/>
          <w:numId w:val="31"/>
        </w:numPr>
        <w:tabs>
          <w:tab w:val="left" w:pos="990"/>
        </w:tabs>
        <w:spacing w:after="0"/>
        <w:ind w:left="994"/>
        <w:outlineLvl w:val="3"/>
        <w:rPr>
          <w:rFonts w:cs="Arial"/>
        </w:rPr>
      </w:pPr>
      <w:r w:rsidRPr="0029565F">
        <w:rPr>
          <w:rFonts w:cs="Arial"/>
        </w:rPr>
        <w:t>Known staffing concerns</w:t>
      </w:r>
      <w:r w:rsidR="00B52006">
        <w:rPr>
          <w:rFonts w:cs="Arial"/>
        </w:rPr>
        <w:t>.</w:t>
      </w:r>
    </w:p>
    <w:p w14:paraId="3E3FDF5E" w14:textId="77777777" w:rsidR="00523FBE" w:rsidRPr="00B52006" w:rsidRDefault="00B41E7A" w:rsidP="00D04003">
      <w:pPr>
        <w:pStyle w:val="Numbered"/>
        <w:keepLines/>
        <w:numPr>
          <w:ilvl w:val="1"/>
          <w:numId w:val="14"/>
        </w:numPr>
        <w:spacing w:before="120"/>
        <w:ind w:left="567" w:hanging="567"/>
        <w:outlineLvl w:val="3"/>
      </w:pPr>
      <w:r w:rsidRPr="00950DFC">
        <w:t xml:space="preserve">The Governing Board will consider the overall context and will award additional salary for temporary leadership requirements in line with what is best to meet the individual circumstances of the school at the time of need, in discussion with colleagues in the Standards and Learning Effectiveness Service (SLES) and HR. Examples of possible scenarios are as follows: </w:t>
      </w:r>
    </w:p>
    <w:tbl>
      <w:tblPr>
        <w:tblW w:w="0" w:type="auto"/>
        <w:tblInd w:w="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858"/>
        <w:gridCol w:w="3123"/>
      </w:tblGrid>
      <w:tr w:rsidR="0005285D" w:rsidRPr="0029565F" w14:paraId="022EB825" w14:textId="77777777" w:rsidTr="005D70FF">
        <w:tc>
          <w:tcPr>
            <w:tcW w:w="5940" w:type="dxa"/>
            <w:shd w:val="clear" w:color="auto" w:fill="D9D9D9" w:themeFill="background1" w:themeFillShade="D9"/>
          </w:tcPr>
          <w:p w14:paraId="3368EC65" w14:textId="77777777" w:rsidR="0005285D" w:rsidRPr="00B52006" w:rsidRDefault="0005285D" w:rsidP="005D70FF">
            <w:pPr>
              <w:spacing w:before="60" w:after="60"/>
              <w:rPr>
                <w:rFonts w:cs="Arial"/>
                <w:bCs/>
                <w:szCs w:val="26"/>
              </w:rPr>
            </w:pPr>
            <w:r w:rsidRPr="00B52006">
              <w:rPr>
                <w:rFonts w:cs="Arial"/>
                <w:bCs/>
                <w:szCs w:val="26"/>
              </w:rPr>
              <w:t>Context</w:t>
            </w:r>
          </w:p>
        </w:tc>
        <w:tc>
          <w:tcPr>
            <w:tcW w:w="3159" w:type="dxa"/>
            <w:shd w:val="clear" w:color="auto" w:fill="D9D9D9" w:themeFill="background1" w:themeFillShade="D9"/>
          </w:tcPr>
          <w:p w14:paraId="5B41B0F6" w14:textId="77777777" w:rsidR="0005285D" w:rsidRPr="00B52006" w:rsidRDefault="0005285D" w:rsidP="005D70FF">
            <w:pPr>
              <w:spacing w:before="60" w:after="60"/>
              <w:rPr>
                <w:rFonts w:cs="Arial"/>
                <w:bCs/>
                <w:szCs w:val="26"/>
              </w:rPr>
            </w:pPr>
            <w:r w:rsidRPr="00B52006">
              <w:rPr>
                <w:rFonts w:cs="Arial"/>
                <w:bCs/>
                <w:szCs w:val="26"/>
              </w:rPr>
              <w:t xml:space="preserve">Additional salary </w:t>
            </w:r>
          </w:p>
        </w:tc>
      </w:tr>
      <w:tr w:rsidR="0005285D" w:rsidRPr="0029565F" w14:paraId="09C5CC78" w14:textId="77777777" w:rsidTr="005D70FF">
        <w:tc>
          <w:tcPr>
            <w:tcW w:w="5940" w:type="dxa"/>
            <w:shd w:val="clear" w:color="auto" w:fill="auto"/>
          </w:tcPr>
          <w:p w14:paraId="555B10B2" w14:textId="77777777" w:rsidR="0005285D" w:rsidRPr="00B52006" w:rsidRDefault="0005285D" w:rsidP="005D70FF">
            <w:pPr>
              <w:spacing w:before="60" w:after="60"/>
              <w:rPr>
                <w:rFonts w:cs="Arial"/>
                <w:bCs/>
                <w:szCs w:val="26"/>
              </w:rPr>
            </w:pPr>
            <w:r w:rsidRPr="00B52006">
              <w:rPr>
                <w:rFonts w:cs="Arial"/>
                <w:bCs/>
                <w:szCs w:val="26"/>
              </w:rPr>
              <w:t xml:space="preserve">One additional school </w:t>
            </w:r>
            <w:r w:rsidR="00531440" w:rsidRPr="00B52006">
              <w:rPr>
                <w:rFonts w:cs="Arial"/>
                <w:bCs/>
                <w:szCs w:val="26"/>
              </w:rPr>
              <w:t xml:space="preserve">that is judged to be good or better </w:t>
            </w:r>
          </w:p>
        </w:tc>
        <w:tc>
          <w:tcPr>
            <w:tcW w:w="3159" w:type="dxa"/>
            <w:shd w:val="clear" w:color="auto" w:fill="auto"/>
          </w:tcPr>
          <w:p w14:paraId="219C71C8" w14:textId="77777777" w:rsidR="0005285D" w:rsidRPr="00B52006" w:rsidRDefault="0005285D" w:rsidP="005D70FF">
            <w:pPr>
              <w:spacing w:before="60" w:after="60"/>
              <w:rPr>
                <w:rFonts w:cs="Arial"/>
                <w:bCs/>
                <w:szCs w:val="26"/>
              </w:rPr>
            </w:pPr>
            <w:r w:rsidRPr="00B52006">
              <w:rPr>
                <w:rFonts w:cs="Arial"/>
                <w:bCs/>
                <w:szCs w:val="26"/>
              </w:rPr>
              <w:t xml:space="preserve">Up to </w:t>
            </w:r>
            <w:r w:rsidR="00523FBE" w:rsidRPr="00B52006">
              <w:rPr>
                <w:rFonts w:cs="Arial"/>
                <w:bCs/>
                <w:szCs w:val="26"/>
              </w:rPr>
              <w:t>7</w:t>
            </w:r>
            <w:r w:rsidRPr="00B52006">
              <w:rPr>
                <w:rFonts w:cs="Arial"/>
                <w:bCs/>
                <w:szCs w:val="26"/>
              </w:rPr>
              <w:t>% of current salary</w:t>
            </w:r>
          </w:p>
        </w:tc>
      </w:tr>
      <w:tr w:rsidR="0005285D" w:rsidRPr="0029565F" w14:paraId="019B3D95" w14:textId="77777777" w:rsidTr="005D70FF">
        <w:tc>
          <w:tcPr>
            <w:tcW w:w="5940" w:type="dxa"/>
            <w:shd w:val="clear" w:color="auto" w:fill="auto"/>
          </w:tcPr>
          <w:p w14:paraId="0441BDA9" w14:textId="77777777" w:rsidR="0005285D" w:rsidRPr="00B52006" w:rsidRDefault="0005285D" w:rsidP="005D70FF">
            <w:pPr>
              <w:spacing w:before="60" w:after="60"/>
              <w:rPr>
                <w:rFonts w:cs="Arial"/>
                <w:bCs/>
                <w:szCs w:val="26"/>
              </w:rPr>
            </w:pPr>
            <w:r w:rsidRPr="00B52006">
              <w:rPr>
                <w:rFonts w:cs="Arial"/>
                <w:bCs/>
                <w:szCs w:val="26"/>
              </w:rPr>
              <w:t xml:space="preserve">One additional </w:t>
            </w:r>
            <w:r w:rsidR="00531440" w:rsidRPr="00B52006">
              <w:rPr>
                <w:rFonts w:cs="Arial"/>
                <w:bCs/>
                <w:szCs w:val="26"/>
              </w:rPr>
              <w:t xml:space="preserve">school that requires improvement </w:t>
            </w:r>
          </w:p>
        </w:tc>
        <w:tc>
          <w:tcPr>
            <w:tcW w:w="3159" w:type="dxa"/>
            <w:shd w:val="clear" w:color="auto" w:fill="auto"/>
          </w:tcPr>
          <w:p w14:paraId="6915BA5C" w14:textId="77777777" w:rsidR="0005285D" w:rsidRPr="00B52006" w:rsidRDefault="0005285D" w:rsidP="005D70FF">
            <w:pPr>
              <w:spacing w:before="60" w:after="60"/>
              <w:rPr>
                <w:rFonts w:cs="Arial"/>
                <w:bCs/>
                <w:szCs w:val="26"/>
              </w:rPr>
            </w:pPr>
            <w:r w:rsidRPr="00B52006">
              <w:rPr>
                <w:rFonts w:cs="Arial"/>
                <w:bCs/>
                <w:szCs w:val="26"/>
              </w:rPr>
              <w:t xml:space="preserve">Up to </w:t>
            </w:r>
            <w:r w:rsidR="00523FBE" w:rsidRPr="00B52006">
              <w:rPr>
                <w:rFonts w:cs="Arial"/>
                <w:bCs/>
                <w:szCs w:val="26"/>
              </w:rPr>
              <w:t>10</w:t>
            </w:r>
            <w:r w:rsidRPr="00B52006">
              <w:rPr>
                <w:rFonts w:cs="Arial"/>
                <w:bCs/>
                <w:szCs w:val="26"/>
              </w:rPr>
              <w:t>% of current salary</w:t>
            </w:r>
          </w:p>
        </w:tc>
      </w:tr>
      <w:tr w:rsidR="0005285D" w:rsidRPr="0029565F" w14:paraId="18216FE2" w14:textId="77777777" w:rsidTr="005D70FF">
        <w:tc>
          <w:tcPr>
            <w:tcW w:w="5940" w:type="dxa"/>
            <w:shd w:val="clear" w:color="auto" w:fill="auto"/>
          </w:tcPr>
          <w:p w14:paraId="3B962EA8" w14:textId="77777777" w:rsidR="0005285D" w:rsidRPr="00B52006" w:rsidRDefault="00523FBE" w:rsidP="005D70FF">
            <w:pPr>
              <w:spacing w:before="60" w:after="60"/>
              <w:rPr>
                <w:rFonts w:cs="Arial"/>
                <w:bCs/>
                <w:szCs w:val="26"/>
              </w:rPr>
            </w:pPr>
            <w:r w:rsidRPr="00B52006">
              <w:rPr>
                <w:rFonts w:cs="Arial"/>
                <w:bCs/>
                <w:szCs w:val="26"/>
              </w:rPr>
              <w:t xml:space="preserve">One additional </w:t>
            </w:r>
            <w:r w:rsidR="002E2486" w:rsidRPr="00B52006">
              <w:rPr>
                <w:rFonts w:cs="Arial"/>
                <w:bCs/>
                <w:szCs w:val="26"/>
              </w:rPr>
              <w:t xml:space="preserve">larger </w:t>
            </w:r>
            <w:r w:rsidRPr="00B52006">
              <w:rPr>
                <w:rFonts w:cs="Arial"/>
                <w:bCs/>
                <w:szCs w:val="26"/>
              </w:rPr>
              <w:t>school that is in special measures</w:t>
            </w:r>
          </w:p>
        </w:tc>
        <w:tc>
          <w:tcPr>
            <w:tcW w:w="3159" w:type="dxa"/>
            <w:shd w:val="clear" w:color="auto" w:fill="auto"/>
          </w:tcPr>
          <w:p w14:paraId="0B88BF59" w14:textId="77777777" w:rsidR="0005285D" w:rsidRPr="00B52006" w:rsidRDefault="0005285D" w:rsidP="005D70FF">
            <w:pPr>
              <w:spacing w:before="60" w:after="60"/>
              <w:rPr>
                <w:rFonts w:cs="Arial"/>
                <w:bCs/>
                <w:szCs w:val="26"/>
              </w:rPr>
            </w:pPr>
            <w:r w:rsidRPr="00B52006">
              <w:rPr>
                <w:rFonts w:cs="Arial"/>
                <w:bCs/>
                <w:szCs w:val="26"/>
              </w:rPr>
              <w:t xml:space="preserve">Up to </w:t>
            </w:r>
            <w:r w:rsidR="00523FBE" w:rsidRPr="00B52006">
              <w:rPr>
                <w:rFonts w:cs="Arial"/>
                <w:bCs/>
                <w:szCs w:val="26"/>
              </w:rPr>
              <w:t>15</w:t>
            </w:r>
            <w:r w:rsidRPr="00B52006">
              <w:rPr>
                <w:rFonts w:cs="Arial"/>
                <w:bCs/>
                <w:szCs w:val="26"/>
              </w:rPr>
              <w:t>% of current salary</w:t>
            </w:r>
          </w:p>
        </w:tc>
      </w:tr>
      <w:tr w:rsidR="00523FBE" w:rsidRPr="0029565F" w14:paraId="55ABEBF5" w14:textId="77777777" w:rsidTr="005D70FF">
        <w:tc>
          <w:tcPr>
            <w:tcW w:w="5940" w:type="dxa"/>
            <w:shd w:val="clear" w:color="auto" w:fill="auto"/>
          </w:tcPr>
          <w:p w14:paraId="55CDED91" w14:textId="77777777" w:rsidR="00523FBE" w:rsidRPr="00B52006" w:rsidRDefault="00523FBE" w:rsidP="005D70FF">
            <w:pPr>
              <w:spacing w:before="60" w:after="60"/>
              <w:rPr>
                <w:rFonts w:cs="Arial"/>
                <w:bCs/>
                <w:szCs w:val="26"/>
              </w:rPr>
            </w:pPr>
            <w:r w:rsidRPr="00B52006">
              <w:rPr>
                <w:rFonts w:cs="Arial"/>
                <w:bCs/>
                <w:szCs w:val="26"/>
              </w:rPr>
              <w:t xml:space="preserve">Two or more additional schools that </w:t>
            </w:r>
            <w:r w:rsidR="000868D3" w:rsidRPr="00B52006">
              <w:rPr>
                <w:rFonts w:cs="Arial"/>
                <w:bCs/>
                <w:szCs w:val="26"/>
              </w:rPr>
              <w:t>are</w:t>
            </w:r>
            <w:r w:rsidRPr="00B52006">
              <w:rPr>
                <w:rFonts w:cs="Arial"/>
                <w:bCs/>
                <w:szCs w:val="26"/>
              </w:rPr>
              <w:t xml:space="preserve"> judged to be good or better </w:t>
            </w:r>
          </w:p>
        </w:tc>
        <w:tc>
          <w:tcPr>
            <w:tcW w:w="3159" w:type="dxa"/>
            <w:shd w:val="clear" w:color="auto" w:fill="auto"/>
          </w:tcPr>
          <w:p w14:paraId="581FC3EB" w14:textId="77777777" w:rsidR="00523FBE" w:rsidRPr="00B52006" w:rsidRDefault="00523FBE" w:rsidP="005D70FF">
            <w:pPr>
              <w:spacing w:before="60" w:after="60"/>
              <w:rPr>
                <w:rFonts w:cs="Arial"/>
                <w:bCs/>
                <w:szCs w:val="26"/>
              </w:rPr>
            </w:pPr>
            <w:r w:rsidRPr="00B52006">
              <w:rPr>
                <w:rFonts w:cs="Arial"/>
                <w:bCs/>
                <w:szCs w:val="26"/>
              </w:rPr>
              <w:t>Up to 10% of current salary</w:t>
            </w:r>
          </w:p>
        </w:tc>
      </w:tr>
      <w:tr w:rsidR="00523FBE" w:rsidRPr="0029565F" w14:paraId="615C9ECB" w14:textId="77777777" w:rsidTr="005D70FF">
        <w:tc>
          <w:tcPr>
            <w:tcW w:w="5940" w:type="dxa"/>
            <w:shd w:val="clear" w:color="auto" w:fill="auto"/>
          </w:tcPr>
          <w:p w14:paraId="3F87EAD3" w14:textId="77777777" w:rsidR="00523FBE" w:rsidRPr="00B52006" w:rsidRDefault="00523FBE" w:rsidP="005D70FF">
            <w:pPr>
              <w:spacing w:before="60" w:after="60"/>
              <w:rPr>
                <w:rFonts w:cs="Arial"/>
                <w:bCs/>
                <w:szCs w:val="26"/>
              </w:rPr>
            </w:pPr>
            <w:r w:rsidRPr="00B52006">
              <w:rPr>
                <w:rFonts w:cs="Arial"/>
                <w:bCs/>
                <w:szCs w:val="26"/>
              </w:rPr>
              <w:t xml:space="preserve">Two or more additional schools that require improvement </w:t>
            </w:r>
          </w:p>
        </w:tc>
        <w:tc>
          <w:tcPr>
            <w:tcW w:w="3159" w:type="dxa"/>
            <w:shd w:val="clear" w:color="auto" w:fill="auto"/>
          </w:tcPr>
          <w:p w14:paraId="5C486BCE" w14:textId="77777777" w:rsidR="00523FBE" w:rsidRPr="00B52006" w:rsidRDefault="00523FBE" w:rsidP="005D70FF">
            <w:pPr>
              <w:spacing w:before="60" w:after="60"/>
              <w:rPr>
                <w:rFonts w:cs="Arial"/>
                <w:bCs/>
                <w:szCs w:val="26"/>
              </w:rPr>
            </w:pPr>
            <w:r w:rsidRPr="00B52006">
              <w:rPr>
                <w:rFonts w:cs="Arial"/>
                <w:bCs/>
                <w:szCs w:val="26"/>
              </w:rPr>
              <w:t>Up to 15% of current salary</w:t>
            </w:r>
          </w:p>
        </w:tc>
      </w:tr>
      <w:tr w:rsidR="00523FBE" w:rsidRPr="0029565F" w14:paraId="6C641D3D" w14:textId="77777777" w:rsidTr="005D70FF">
        <w:tc>
          <w:tcPr>
            <w:tcW w:w="5940" w:type="dxa"/>
            <w:shd w:val="clear" w:color="auto" w:fill="auto"/>
          </w:tcPr>
          <w:p w14:paraId="3944AD3C" w14:textId="77777777" w:rsidR="00523FBE" w:rsidRPr="00B52006" w:rsidRDefault="00523FBE" w:rsidP="005D70FF">
            <w:pPr>
              <w:spacing w:before="60" w:after="60"/>
              <w:rPr>
                <w:rFonts w:cs="Arial"/>
                <w:bCs/>
                <w:szCs w:val="26"/>
              </w:rPr>
            </w:pPr>
            <w:r w:rsidRPr="00B52006">
              <w:rPr>
                <w:rFonts w:cs="Arial"/>
                <w:bCs/>
                <w:szCs w:val="26"/>
              </w:rPr>
              <w:t xml:space="preserve">Two or more additional </w:t>
            </w:r>
            <w:r w:rsidR="002E2486" w:rsidRPr="00B52006">
              <w:rPr>
                <w:rFonts w:cs="Arial"/>
                <w:bCs/>
                <w:szCs w:val="26"/>
              </w:rPr>
              <w:t xml:space="preserve">larger </w:t>
            </w:r>
            <w:r w:rsidRPr="00B52006">
              <w:rPr>
                <w:rFonts w:cs="Arial"/>
                <w:bCs/>
                <w:szCs w:val="26"/>
              </w:rPr>
              <w:t>schools in special measures</w:t>
            </w:r>
          </w:p>
        </w:tc>
        <w:tc>
          <w:tcPr>
            <w:tcW w:w="3159" w:type="dxa"/>
            <w:shd w:val="clear" w:color="auto" w:fill="auto"/>
          </w:tcPr>
          <w:p w14:paraId="1AB6A852" w14:textId="77777777" w:rsidR="00523FBE" w:rsidRPr="00B52006" w:rsidRDefault="00523FBE" w:rsidP="005D70FF">
            <w:pPr>
              <w:spacing w:before="60" w:after="60"/>
              <w:rPr>
                <w:rFonts w:cs="Arial"/>
                <w:bCs/>
                <w:szCs w:val="26"/>
              </w:rPr>
            </w:pPr>
            <w:r w:rsidRPr="00B52006">
              <w:rPr>
                <w:rFonts w:cs="Arial"/>
                <w:bCs/>
                <w:szCs w:val="26"/>
              </w:rPr>
              <w:t>Up to 20% of current salary</w:t>
            </w:r>
          </w:p>
        </w:tc>
      </w:tr>
    </w:tbl>
    <w:p w14:paraId="57C2A9FD" w14:textId="6B853910" w:rsidR="00B41E7A" w:rsidRPr="00D04003" w:rsidRDefault="00B41E7A" w:rsidP="00D04003">
      <w:pPr>
        <w:pStyle w:val="Numbered"/>
        <w:keepLines/>
        <w:spacing w:before="120"/>
        <w:ind w:left="567"/>
        <w:outlineLvl w:val="3"/>
      </w:pPr>
      <w:r w:rsidRPr="00D04003">
        <w:t xml:space="preserve">This list of examples is not </w:t>
      </w:r>
      <w:r w:rsidR="00340585" w:rsidRPr="00D04003">
        <w:t>exhaustive and</w:t>
      </w:r>
      <w:r w:rsidRPr="00D04003">
        <w:t xml:space="preserve"> could be adapted to meet the specific circumstances of the requirements of a </w:t>
      </w:r>
      <w:r w:rsidR="00D04003" w:rsidRPr="00D04003">
        <w:t>temporary</w:t>
      </w:r>
      <w:r w:rsidRPr="00D04003">
        <w:t xml:space="preserve"> leadership model.</w:t>
      </w:r>
    </w:p>
    <w:p w14:paraId="6200406D" w14:textId="77777777" w:rsidR="005D70FF" w:rsidRDefault="007C40AF" w:rsidP="004F311C">
      <w:pPr>
        <w:pStyle w:val="Numbered"/>
        <w:keepLines/>
        <w:numPr>
          <w:ilvl w:val="1"/>
          <w:numId w:val="14"/>
        </w:numPr>
        <w:spacing w:before="120"/>
        <w:ind w:left="567" w:hanging="567"/>
        <w:outlineLvl w:val="3"/>
      </w:pPr>
      <w:r w:rsidRPr="0029565F">
        <w:t xml:space="preserve">Any additional payment will not exceed the 25% limit, including all other </w:t>
      </w:r>
      <w:r w:rsidR="005D70FF">
        <w:t>allowances currently in payment.</w:t>
      </w:r>
      <w:r w:rsidR="00E439B1">
        <w:t xml:space="preserve"> If </w:t>
      </w:r>
      <w:r w:rsidR="00F744EF">
        <w:t xml:space="preserve">the </w:t>
      </w:r>
      <w:r w:rsidR="00D01FC0">
        <w:t>Governing board</w:t>
      </w:r>
      <w:r w:rsidR="00F744EF">
        <w:t xml:space="preserve"> is considering exceeding the 25 % limit, then paragraph 29.8 and 30.3 will apply.</w:t>
      </w:r>
    </w:p>
    <w:p w14:paraId="3EB4768E" w14:textId="77777777" w:rsidR="00A9630F" w:rsidRPr="0029565F" w:rsidRDefault="00A9630F" w:rsidP="004F311C">
      <w:pPr>
        <w:pStyle w:val="Numbered"/>
        <w:keepLines/>
        <w:numPr>
          <w:ilvl w:val="1"/>
          <w:numId w:val="14"/>
        </w:numPr>
        <w:spacing w:before="120"/>
        <w:ind w:left="567" w:hanging="567"/>
        <w:outlineLvl w:val="3"/>
      </w:pPr>
      <w:r w:rsidRPr="0029565F">
        <w:t xml:space="preserve">Please also refer to section 25 of the </w:t>
      </w:r>
      <w:r w:rsidR="005D70FF" w:rsidRPr="005D70FF">
        <w:rPr>
          <w:color w:val="0000FF"/>
        </w:rPr>
        <w:t xml:space="preserve">Supplementary guidance document </w:t>
      </w:r>
      <w:r w:rsidRPr="0029565F">
        <w:t>for further information.</w:t>
      </w:r>
    </w:p>
    <w:p w14:paraId="2C350113" w14:textId="77777777" w:rsidR="002C3689" w:rsidRPr="0029565F" w:rsidRDefault="002C3689" w:rsidP="005D70FF">
      <w:pPr>
        <w:pStyle w:val="Numbered"/>
        <w:keepLines/>
        <w:numPr>
          <w:ilvl w:val="0"/>
          <w:numId w:val="14"/>
        </w:numPr>
        <w:spacing w:before="120"/>
        <w:outlineLvl w:val="3"/>
        <w:rPr>
          <w:b/>
        </w:rPr>
      </w:pPr>
      <w:bookmarkStart w:id="58" w:name="_Toc397434751"/>
      <w:bookmarkStart w:id="59" w:name="_Toc397434921"/>
      <w:bookmarkStart w:id="60" w:name="_Toc397435014"/>
      <w:bookmarkStart w:id="61" w:name="_Toc397435092"/>
      <w:bookmarkStart w:id="62" w:name="_Toc397435135"/>
      <w:bookmarkStart w:id="63" w:name="_Toc397436685"/>
      <w:bookmarkStart w:id="64" w:name="_Toc397437110"/>
      <w:bookmarkStart w:id="65" w:name="_Toc397437269"/>
      <w:bookmarkStart w:id="66" w:name="_Toc397437378"/>
      <w:bookmarkEnd w:id="58"/>
      <w:bookmarkEnd w:id="59"/>
      <w:bookmarkEnd w:id="60"/>
      <w:bookmarkEnd w:id="61"/>
      <w:bookmarkEnd w:id="62"/>
      <w:bookmarkEnd w:id="63"/>
      <w:bookmarkEnd w:id="64"/>
      <w:bookmarkEnd w:id="65"/>
      <w:bookmarkEnd w:id="66"/>
      <w:r w:rsidRPr="0029565F">
        <w:rPr>
          <w:b/>
        </w:rPr>
        <w:t xml:space="preserve">Provision of services to other schools (PSOS) </w:t>
      </w:r>
    </w:p>
    <w:p w14:paraId="0877076E" w14:textId="77777777" w:rsidR="002C3689" w:rsidRPr="0029565F" w:rsidRDefault="002C3689" w:rsidP="002C3689">
      <w:pPr>
        <w:pStyle w:val="Numbered"/>
        <w:keepLines/>
        <w:outlineLvl w:val="3"/>
        <w:rPr>
          <w:rFonts w:cs="Arial"/>
          <w:i/>
          <w:spacing w:val="-1"/>
        </w:rPr>
      </w:pPr>
      <w:r w:rsidRPr="0029565F">
        <w:rPr>
          <w:rFonts w:cs="Arial"/>
          <w:i/>
        </w:rPr>
        <w:t>(</w:t>
      </w:r>
      <w:r w:rsidR="00137C46" w:rsidRPr="0029565F">
        <w:rPr>
          <w:rFonts w:cs="Arial"/>
          <w:i/>
          <w:spacing w:val="-1"/>
        </w:rPr>
        <w:t>T</w:t>
      </w:r>
      <w:r w:rsidRPr="0029565F">
        <w:rPr>
          <w:rFonts w:cs="Arial"/>
          <w:i/>
          <w:spacing w:val="-1"/>
        </w:rPr>
        <w:t>his does not apply to provision of services to a school where the Headteacher has been appointed on a temporary or permanent basis).</w:t>
      </w:r>
    </w:p>
    <w:p w14:paraId="5964AC0D" w14:textId="77777777" w:rsidR="005D70FF" w:rsidRDefault="002C3689" w:rsidP="004F311C">
      <w:pPr>
        <w:pStyle w:val="Numbered"/>
        <w:keepLines/>
        <w:numPr>
          <w:ilvl w:val="1"/>
          <w:numId w:val="14"/>
        </w:numPr>
        <w:spacing w:before="120"/>
        <w:ind w:left="567" w:hanging="567"/>
        <w:outlineLvl w:val="3"/>
      </w:pPr>
      <w:r w:rsidRPr="005D70FF">
        <w:t>Any PSOS services provided by a Headteacher will be formally authorised by governors and where the work extends over more than a 12 month period, the arrangements will be formally reviewed annually. Arrangements for ending such work wi</w:t>
      </w:r>
      <w:r w:rsidR="005D70FF">
        <w:t>ll also be agreed by governors.</w:t>
      </w:r>
    </w:p>
    <w:p w14:paraId="06294532" w14:textId="77777777" w:rsidR="005D70FF" w:rsidRDefault="002C3689" w:rsidP="004F311C">
      <w:pPr>
        <w:pStyle w:val="Numbered"/>
        <w:keepLines/>
        <w:numPr>
          <w:ilvl w:val="1"/>
          <w:numId w:val="14"/>
        </w:numPr>
        <w:spacing w:before="120"/>
        <w:ind w:left="567" w:hanging="567"/>
        <w:outlineLvl w:val="3"/>
      </w:pPr>
      <w:r w:rsidRPr="005D70FF">
        <w:rPr>
          <w:rFonts w:cs="Arial"/>
        </w:rPr>
        <w:t>Any expenses incurred by the Headteacher as a result of taking on additional work will be reimbursed</w:t>
      </w:r>
      <w:r w:rsidR="00B64F1F" w:rsidRPr="005D70FF">
        <w:rPr>
          <w:rFonts w:cs="Arial"/>
        </w:rPr>
        <w:t xml:space="preserve"> by the school</w:t>
      </w:r>
      <w:r w:rsidRPr="005D70FF">
        <w:rPr>
          <w:rFonts w:cs="Arial"/>
        </w:rPr>
        <w:t>.</w:t>
      </w:r>
    </w:p>
    <w:p w14:paraId="785033CD" w14:textId="77777777" w:rsidR="007F04FC" w:rsidRPr="0029565F" w:rsidRDefault="00A9630F" w:rsidP="00D04003">
      <w:pPr>
        <w:pStyle w:val="Numbered"/>
        <w:keepLines/>
        <w:numPr>
          <w:ilvl w:val="1"/>
          <w:numId w:val="14"/>
        </w:numPr>
        <w:spacing w:before="120"/>
        <w:ind w:left="567" w:hanging="567"/>
        <w:outlineLvl w:val="3"/>
      </w:pPr>
      <w:r w:rsidRPr="0029565F">
        <w:t xml:space="preserve">Please also refer to sections 25 and 26 of the </w:t>
      </w:r>
      <w:r w:rsidR="005D70FF" w:rsidRPr="005D70FF">
        <w:rPr>
          <w:color w:val="0000FF"/>
        </w:rPr>
        <w:t xml:space="preserve">Supplementary guidance document </w:t>
      </w:r>
      <w:r w:rsidRPr="0029565F">
        <w:t>for further information.</w:t>
      </w:r>
    </w:p>
    <w:p w14:paraId="37E038DB" w14:textId="77777777" w:rsidR="002C3689" w:rsidRPr="0029565F" w:rsidRDefault="002C3689" w:rsidP="005D70FF">
      <w:pPr>
        <w:pStyle w:val="Numbered"/>
        <w:keepLines/>
        <w:numPr>
          <w:ilvl w:val="0"/>
          <w:numId w:val="14"/>
        </w:numPr>
        <w:spacing w:before="120"/>
        <w:outlineLvl w:val="3"/>
        <w:rPr>
          <w:b/>
        </w:rPr>
      </w:pPr>
      <w:bookmarkStart w:id="67" w:name="_Toc397434753"/>
      <w:bookmarkStart w:id="68" w:name="_Toc397434923"/>
      <w:bookmarkStart w:id="69" w:name="_Toc397435016"/>
      <w:bookmarkStart w:id="70" w:name="_Toc397435094"/>
      <w:bookmarkStart w:id="71" w:name="_Toc397435137"/>
      <w:bookmarkStart w:id="72" w:name="_Toc397436687"/>
      <w:bookmarkStart w:id="73" w:name="_Toc397437112"/>
      <w:bookmarkStart w:id="74" w:name="_Toc397437271"/>
      <w:bookmarkStart w:id="75" w:name="_Toc397437380"/>
      <w:bookmarkEnd w:id="67"/>
      <w:bookmarkEnd w:id="68"/>
      <w:bookmarkEnd w:id="69"/>
      <w:bookmarkEnd w:id="70"/>
      <w:bookmarkEnd w:id="71"/>
      <w:bookmarkEnd w:id="72"/>
      <w:bookmarkEnd w:id="73"/>
      <w:bookmarkEnd w:id="74"/>
      <w:bookmarkEnd w:id="75"/>
      <w:r w:rsidRPr="0029565F">
        <w:rPr>
          <w:b/>
        </w:rPr>
        <w:t>Extended Services</w:t>
      </w:r>
    </w:p>
    <w:p w14:paraId="2FF20D4A" w14:textId="77777777" w:rsidR="005D70FF" w:rsidRDefault="00A12DDC" w:rsidP="008A5250">
      <w:pPr>
        <w:pStyle w:val="Numbered"/>
        <w:keepLines/>
        <w:numPr>
          <w:ilvl w:val="1"/>
          <w:numId w:val="14"/>
        </w:numPr>
        <w:spacing w:before="120"/>
        <w:ind w:left="567" w:hanging="567"/>
        <w:outlineLvl w:val="3"/>
        <w:rPr>
          <w:rFonts w:cs="Arial"/>
        </w:rPr>
      </w:pPr>
      <w:r w:rsidRPr="0029565F">
        <w:rPr>
          <w:rFonts w:cs="Arial"/>
        </w:rPr>
        <w:t>Any</w:t>
      </w:r>
      <w:r w:rsidR="009F0823" w:rsidRPr="0029565F">
        <w:rPr>
          <w:rFonts w:cs="Arial"/>
        </w:rPr>
        <w:t xml:space="preserve"> income derived from external sources for the work of a school’s staff (including the Headteacher) accrues to the school in the first instance. The </w:t>
      </w:r>
      <w:r w:rsidR="00D01FC0">
        <w:rPr>
          <w:rFonts w:cs="Arial"/>
        </w:rPr>
        <w:t>Governing board</w:t>
      </w:r>
      <w:r w:rsidR="009F0823" w:rsidRPr="0029565F">
        <w:rPr>
          <w:rFonts w:cs="Arial"/>
        </w:rPr>
        <w:t xml:space="preserve"> has the discretion to take this into account when setting the headteacher’s salary. Any salary uplift should be proportionate to the level of responsibility and accountability being undertaken.</w:t>
      </w:r>
    </w:p>
    <w:p w14:paraId="73F4A0A7" w14:textId="77777777" w:rsidR="005D70FF" w:rsidRDefault="00A12DDC" w:rsidP="00EA682D">
      <w:pPr>
        <w:pStyle w:val="Numbered"/>
        <w:keepLines/>
        <w:numPr>
          <w:ilvl w:val="1"/>
          <w:numId w:val="14"/>
        </w:numPr>
        <w:spacing w:before="120"/>
        <w:ind w:left="567" w:hanging="567"/>
        <w:outlineLvl w:val="3"/>
        <w:rPr>
          <w:rFonts w:cs="Arial"/>
        </w:rPr>
      </w:pPr>
      <w:r w:rsidRPr="005D70FF">
        <w:rPr>
          <w:rFonts w:cs="Arial"/>
        </w:rPr>
        <w:t>An</w:t>
      </w:r>
      <w:r w:rsidR="009F0823" w:rsidRPr="005D70FF">
        <w:rPr>
          <w:rFonts w:cs="Arial"/>
        </w:rPr>
        <w:t xml:space="preserve"> increase in remuneration should only be agreed where the post accrues extra responsibilities as a result of the headteacher’s enlarged role; it is not automatic.</w:t>
      </w:r>
    </w:p>
    <w:p w14:paraId="0AC41F88" w14:textId="77777777" w:rsidR="00A9630F" w:rsidRPr="005D70FF" w:rsidRDefault="00A9630F" w:rsidP="00EA682D">
      <w:pPr>
        <w:pStyle w:val="Numbered"/>
        <w:keepLines/>
        <w:numPr>
          <w:ilvl w:val="1"/>
          <w:numId w:val="14"/>
        </w:numPr>
        <w:spacing w:before="120"/>
        <w:ind w:left="567" w:hanging="567"/>
        <w:outlineLvl w:val="3"/>
        <w:rPr>
          <w:rFonts w:cs="Arial"/>
        </w:rPr>
      </w:pPr>
      <w:r w:rsidRPr="0029565F">
        <w:t xml:space="preserve">Please also refer to section 27 of the </w:t>
      </w:r>
      <w:r w:rsidR="005D70FF" w:rsidRPr="005D70FF">
        <w:rPr>
          <w:color w:val="0000FF"/>
        </w:rPr>
        <w:t xml:space="preserve">Supplementary guidance document </w:t>
      </w:r>
      <w:r w:rsidRPr="0029565F">
        <w:t>for further information.</w:t>
      </w:r>
    </w:p>
    <w:p w14:paraId="20FA576F" w14:textId="77777777" w:rsidR="00137C46" w:rsidRPr="0029565F" w:rsidRDefault="00137C46" w:rsidP="005D70FF">
      <w:pPr>
        <w:pStyle w:val="Numbered"/>
        <w:keepLines/>
        <w:numPr>
          <w:ilvl w:val="0"/>
          <w:numId w:val="14"/>
        </w:numPr>
        <w:spacing w:before="120"/>
        <w:outlineLvl w:val="3"/>
        <w:rPr>
          <w:b/>
        </w:rPr>
      </w:pPr>
      <w:r w:rsidRPr="0029565F">
        <w:rPr>
          <w:b/>
        </w:rPr>
        <w:t xml:space="preserve">Payments to </w:t>
      </w:r>
      <w:r w:rsidR="00B41E7A">
        <w:rPr>
          <w:b/>
        </w:rPr>
        <w:t xml:space="preserve">school </w:t>
      </w:r>
      <w:r w:rsidR="00D97223">
        <w:rPr>
          <w:b/>
        </w:rPr>
        <w:t>leaders</w:t>
      </w:r>
      <w:r w:rsidR="00B41E7A">
        <w:rPr>
          <w:b/>
        </w:rPr>
        <w:t xml:space="preserve"> </w:t>
      </w:r>
      <w:r w:rsidRPr="0029565F">
        <w:rPr>
          <w:b/>
        </w:rPr>
        <w:t xml:space="preserve">for Ofsted </w:t>
      </w:r>
      <w:r w:rsidR="00F04ABC" w:rsidRPr="0029565F">
        <w:rPr>
          <w:b/>
        </w:rPr>
        <w:t>i</w:t>
      </w:r>
      <w:r w:rsidRPr="0029565F">
        <w:rPr>
          <w:b/>
        </w:rPr>
        <w:t xml:space="preserve">nspector </w:t>
      </w:r>
      <w:r w:rsidR="00F04ABC" w:rsidRPr="0029565F">
        <w:rPr>
          <w:b/>
        </w:rPr>
        <w:t>w</w:t>
      </w:r>
      <w:r w:rsidRPr="0029565F">
        <w:rPr>
          <w:b/>
        </w:rPr>
        <w:t>ork</w:t>
      </w:r>
      <w:bookmarkStart w:id="76" w:name="_Ref338082125"/>
    </w:p>
    <w:p w14:paraId="3EF90B8D" w14:textId="77777777" w:rsidR="005D70FF" w:rsidRDefault="003A3D7A" w:rsidP="004F311C">
      <w:pPr>
        <w:pStyle w:val="Numbered"/>
        <w:keepLines/>
        <w:numPr>
          <w:ilvl w:val="1"/>
          <w:numId w:val="14"/>
        </w:numPr>
        <w:spacing w:before="120"/>
        <w:ind w:left="567" w:hanging="567"/>
        <w:outlineLvl w:val="3"/>
        <w:rPr>
          <w:rFonts w:cs="Arial"/>
        </w:rPr>
      </w:pPr>
      <w:r w:rsidRPr="0029565F">
        <w:rPr>
          <w:rFonts w:cs="Arial"/>
        </w:rPr>
        <w:t xml:space="preserve">The </w:t>
      </w:r>
      <w:r w:rsidR="00D01FC0">
        <w:rPr>
          <w:rFonts w:cs="Arial"/>
        </w:rPr>
        <w:t>Governing board</w:t>
      </w:r>
      <w:r w:rsidRPr="0029565F">
        <w:rPr>
          <w:rFonts w:cs="Arial"/>
        </w:rPr>
        <w:t xml:space="preserve"> must agree in advance if </w:t>
      </w:r>
      <w:r w:rsidR="00B41E7A">
        <w:rPr>
          <w:rFonts w:cs="Arial"/>
        </w:rPr>
        <w:t>a school leader</w:t>
      </w:r>
      <w:r w:rsidRPr="0029565F">
        <w:rPr>
          <w:rFonts w:cs="Arial"/>
        </w:rPr>
        <w:t xml:space="preserve"> is to undertake external work as an Ofsted Inspector. The payment for the </w:t>
      </w:r>
      <w:r w:rsidR="00B41E7A">
        <w:rPr>
          <w:rFonts w:cs="Arial"/>
        </w:rPr>
        <w:t>school leader’s</w:t>
      </w:r>
      <w:r w:rsidRPr="0029565F">
        <w:rPr>
          <w:rFonts w:cs="Arial"/>
        </w:rPr>
        <w:t xml:space="preserve"> services must be made directly to the sc</w:t>
      </w:r>
      <w:r w:rsidR="00B64F1F" w:rsidRPr="0029565F">
        <w:rPr>
          <w:rFonts w:cs="Arial"/>
        </w:rPr>
        <w:t>hool</w:t>
      </w:r>
      <w:r w:rsidR="008432CB">
        <w:rPr>
          <w:rFonts w:cs="Arial"/>
        </w:rPr>
        <w:t>.</w:t>
      </w:r>
    </w:p>
    <w:p w14:paraId="733CEBF9" w14:textId="77777777" w:rsidR="005D70FF" w:rsidRDefault="003A3D7A" w:rsidP="004F311C">
      <w:pPr>
        <w:pStyle w:val="Numbered"/>
        <w:keepLines/>
        <w:numPr>
          <w:ilvl w:val="1"/>
          <w:numId w:val="14"/>
        </w:numPr>
        <w:spacing w:before="120"/>
        <w:ind w:left="567" w:hanging="567"/>
        <w:outlineLvl w:val="3"/>
        <w:rPr>
          <w:rFonts w:cs="Arial"/>
        </w:rPr>
      </w:pPr>
      <w:r w:rsidRPr="005D70FF">
        <w:rPr>
          <w:rFonts w:cs="Arial"/>
        </w:rPr>
        <w:t xml:space="preserve">In exceptional cases, and if governors consider that the Ofsted inspection work undertaken by their </w:t>
      </w:r>
      <w:r w:rsidR="00B41E7A">
        <w:rPr>
          <w:rFonts w:cs="Arial"/>
        </w:rPr>
        <w:t>school leader</w:t>
      </w:r>
      <w:r w:rsidRPr="005D70FF">
        <w:rPr>
          <w:rFonts w:cs="Arial"/>
        </w:rPr>
        <w:t xml:space="preserve"> brings benefits to the school, they may make a payment to the </w:t>
      </w:r>
      <w:r w:rsidR="00B41E7A">
        <w:rPr>
          <w:rFonts w:cs="Arial"/>
        </w:rPr>
        <w:t>school leader</w:t>
      </w:r>
      <w:r w:rsidR="005D70FF" w:rsidRPr="005D70FF">
        <w:rPr>
          <w:rFonts w:cs="Arial"/>
        </w:rPr>
        <w:t xml:space="preserve"> </w:t>
      </w:r>
      <w:r w:rsidRPr="005D70FF">
        <w:rPr>
          <w:rFonts w:cs="Arial"/>
        </w:rPr>
        <w:t>under the heading of Provision of Ser</w:t>
      </w:r>
      <w:r w:rsidR="005D70FF">
        <w:rPr>
          <w:rFonts w:cs="Arial"/>
        </w:rPr>
        <w:t xml:space="preserve">vices to Other Schools (PSOS). </w:t>
      </w:r>
      <w:r w:rsidRPr="005D70FF">
        <w:rPr>
          <w:rFonts w:cs="Arial"/>
        </w:rPr>
        <w:t>This will be discussed and agreed prior to any work being undertaken.</w:t>
      </w:r>
    </w:p>
    <w:p w14:paraId="0335A1CD" w14:textId="63FC8193" w:rsidR="00A9630F" w:rsidRPr="00810D9F" w:rsidRDefault="00A9630F" w:rsidP="004F311C">
      <w:pPr>
        <w:pStyle w:val="Numbered"/>
        <w:keepLines/>
        <w:numPr>
          <w:ilvl w:val="1"/>
          <w:numId w:val="14"/>
        </w:numPr>
        <w:spacing w:before="120"/>
        <w:ind w:left="567" w:hanging="567"/>
        <w:outlineLvl w:val="3"/>
        <w:rPr>
          <w:rFonts w:cs="Arial"/>
        </w:rPr>
      </w:pPr>
      <w:r w:rsidRPr="0029565F">
        <w:t xml:space="preserve">Please also refer to sections 28 and 29 of the </w:t>
      </w:r>
      <w:r w:rsidR="005D70FF" w:rsidRPr="005D70FF">
        <w:rPr>
          <w:color w:val="0000FF"/>
        </w:rPr>
        <w:t>Supplementary guidance document</w:t>
      </w:r>
      <w:r w:rsidRPr="0029565F" w:rsidDel="000736AF">
        <w:t xml:space="preserve"> </w:t>
      </w:r>
      <w:r w:rsidRPr="0029565F">
        <w:t>for further information.</w:t>
      </w:r>
    </w:p>
    <w:p w14:paraId="6903C6DB" w14:textId="00426A22" w:rsidR="00810D9F" w:rsidRDefault="00810D9F" w:rsidP="00810D9F">
      <w:pPr>
        <w:pStyle w:val="Numbered"/>
        <w:keepLines/>
        <w:spacing w:before="120"/>
        <w:outlineLvl w:val="3"/>
      </w:pPr>
    </w:p>
    <w:p w14:paraId="0EEE50C1" w14:textId="77777777" w:rsidR="00810D9F" w:rsidRPr="005D70FF" w:rsidRDefault="00810D9F" w:rsidP="00810D9F">
      <w:pPr>
        <w:pStyle w:val="Numbered"/>
        <w:keepLines/>
        <w:spacing w:before="120"/>
        <w:outlineLvl w:val="3"/>
        <w:rPr>
          <w:rFonts w:cs="Arial"/>
        </w:rPr>
      </w:pPr>
    </w:p>
    <w:p w14:paraId="3B8CF024" w14:textId="4A141E05" w:rsidR="00137C46" w:rsidRPr="0029565F" w:rsidRDefault="00137C46" w:rsidP="005D70FF">
      <w:pPr>
        <w:pStyle w:val="Numbered"/>
        <w:keepLines/>
        <w:numPr>
          <w:ilvl w:val="0"/>
          <w:numId w:val="14"/>
        </w:numPr>
        <w:spacing w:before="120"/>
        <w:outlineLvl w:val="3"/>
        <w:rPr>
          <w:b/>
        </w:rPr>
      </w:pPr>
      <w:bookmarkStart w:id="77" w:name="_Toc397434756"/>
      <w:bookmarkStart w:id="78" w:name="_Toc397434926"/>
      <w:bookmarkStart w:id="79" w:name="_Toc397435019"/>
      <w:bookmarkStart w:id="80" w:name="_Toc397435097"/>
      <w:bookmarkStart w:id="81" w:name="_Toc397435140"/>
      <w:bookmarkStart w:id="82" w:name="_Toc397436690"/>
      <w:bookmarkStart w:id="83" w:name="_Toc397437115"/>
      <w:bookmarkStart w:id="84" w:name="_Toc397437274"/>
      <w:bookmarkStart w:id="85" w:name="_Toc397437383"/>
      <w:bookmarkStart w:id="86" w:name="_Hlk52547020"/>
      <w:bookmarkEnd w:id="77"/>
      <w:bookmarkEnd w:id="78"/>
      <w:bookmarkEnd w:id="79"/>
      <w:bookmarkEnd w:id="80"/>
      <w:bookmarkEnd w:id="81"/>
      <w:bookmarkEnd w:id="82"/>
      <w:bookmarkEnd w:id="83"/>
      <w:bookmarkEnd w:id="84"/>
      <w:bookmarkEnd w:id="85"/>
      <w:r w:rsidRPr="0029565F">
        <w:rPr>
          <w:b/>
        </w:rPr>
        <w:t xml:space="preserve">Discretionary </w:t>
      </w:r>
      <w:r w:rsidR="00B72181" w:rsidRPr="0029565F">
        <w:rPr>
          <w:b/>
        </w:rPr>
        <w:t>p</w:t>
      </w:r>
      <w:r w:rsidRPr="0029565F">
        <w:rPr>
          <w:b/>
        </w:rPr>
        <w:t xml:space="preserve">ayments </w:t>
      </w:r>
      <w:r w:rsidR="006B1845" w:rsidRPr="0029565F">
        <w:rPr>
          <w:b/>
        </w:rPr>
        <w:t xml:space="preserve">to </w:t>
      </w:r>
      <w:r w:rsidR="00D63665">
        <w:rPr>
          <w:b/>
        </w:rPr>
        <w:t xml:space="preserve">executive </w:t>
      </w:r>
      <w:r w:rsidR="00B72181" w:rsidRPr="0029565F">
        <w:rPr>
          <w:b/>
        </w:rPr>
        <w:t>h</w:t>
      </w:r>
      <w:r w:rsidRPr="0029565F">
        <w:rPr>
          <w:b/>
        </w:rPr>
        <w:t xml:space="preserve">eadteachers </w:t>
      </w:r>
    </w:p>
    <w:bookmarkEnd w:id="86"/>
    <w:p w14:paraId="28E5778A" w14:textId="0F622F2C" w:rsidR="006B1845" w:rsidRPr="0029565F" w:rsidRDefault="00B72181" w:rsidP="005D70FF">
      <w:pPr>
        <w:pStyle w:val="Numbered"/>
        <w:keepLines/>
        <w:numPr>
          <w:ilvl w:val="1"/>
          <w:numId w:val="14"/>
        </w:numPr>
        <w:spacing w:before="120"/>
        <w:ind w:left="567" w:hanging="567"/>
        <w:outlineLvl w:val="3"/>
        <w:rPr>
          <w:rFonts w:cs="Arial"/>
        </w:rPr>
      </w:pPr>
      <w:r w:rsidRPr="0029565F">
        <w:rPr>
          <w:rFonts w:cs="Arial"/>
        </w:rPr>
        <w:t>The</w:t>
      </w:r>
      <w:r w:rsidR="006B1845" w:rsidRPr="0029565F">
        <w:rPr>
          <w:rFonts w:cs="Arial"/>
        </w:rPr>
        <w:t>re is no longer any provision in the</w:t>
      </w:r>
      <w:r w:rsidRPr="0029565F">
        <w:rPr>
          <w:rFonts w:cs="Arial"/>
        </w:rPr>
        <w:t xml:space="preserve"> </w:t>
      </w:r>
      <w:r w:rsidR="006B1845" w:rsidRPr="0029565F">
        <w:rPr>
          <w:rFonts w:cs="Arial"/>
        </w:rPr>
        <w:t xml:space="preserve">STPCD to allow the </w:t>
      </w:r>
      <w:r w:rsidR="00D01FC0">
        <w:rPr>
          <w:rFonts w:cs="Arial"/>
        </w:rPr>
        <w:t>Governing board</w:t>
      </w:r>
      <w:r w:rsidR="006B1845" w:rsidRPr="0029565F">
        <w:rPr>
          <w:rFonts w:cs="Arial"/>
        </w:rPr>
        <w:t xml:space="preserve"> to award discretionary payments to</w:t>
      </w:r>
      <w:r w:rsidR="00D63665">
        <w:rPr>
          <w:rFonts w:cs="Arial"/>
        </w:rPr>
        <w:t xml:space="preserve"> executive</w:t>
      </w:r>
      <w:r w:rsidR="006B1845" w:rsidRPr="0029565F">
        <w:rPr>
          <w:rFonts w:cs="Arial"/>
        </w:rPr>
        <w:t xml:space="preserve"> headteachers. </w:t>
      </w:r>
    </w:p>
    <w:p w14:paraId="0627A72D" w14:textId="112D5E09" w:rsidR="003A47DD" w:rsidRDefault="006B1845" w:rsidP="005D70FF">
      <w:pPr>
        <w:pStyle w:val="Numbered"/>
        <w:keepLines/>
        <w:numPr>
          <w:ilvl w:val="1"/>
          <w:numId w:val="14"/>
        </w:numPr>
        <w:spacing w:before="120"/>
        <w:ind w:left="567" w:hanging="567"/>
        <w:outlineLvl w:val="3"/>
        <w:rPr>
          <w:rFonts w:cs="Arial"/>
        </w:rPr>
      </w:pPr>
      <w:r w:rsidRPr="0029565F">
        <w:rPr>
          <w:rFonts w:cs="Arial"/>
        </w:rPr>
        <w:t>There is still scope</w:t>
      </w:r>
      <w:r w:rsidR="00A821CB" w:rsidRPr="0029565F">
        <w:rPr>
          <w:rFonts w:cs="Arial"/>
        </w:rPr>
        <w:t>, in specific circumstances</w:t>
      </w:r>
      <w:r w:rsidRPr="0029565F">
        <w:rPr>
          <w:rFonts w:cs="Arial"/>
        </w:rPr>
        <w:t xml:space="preserve"> for </w:t>
      </w:r>
      <w:r w:rsidR="00D63665">
        <w:rPr>
          <w:rFonts w:cs="Arial"/>
        </w:rPr>
        <w:t xml:space="preserve">executive </w:t>
      </w:r>
      <w:r w:rsidRPr="0029565F">
        <w:rPr>
          <w:rFonts w:cs="Arial"/>
        </w:rPr>
        <w:t>headteachers to receive up to 25% of their salary as remuneration for temporary additional duties and responsibil</w:t>
      </w:r>
      <w:r w:rsidR="005D70FF">
        <w:rPr>
          <w:rFonts w:cs="Arial"/>
        </w:rPr>
        <w:t>ities</w:t>
      </w:r>
      <w:r w:rsidRPr="0029565F">
        <w:rPr>
          <w:rFonts w:cs="Arial"/>
        </w:rPr>
        <w:t>.</w:t>
      </w:r>
    </w:p>
    <w:p w14:paraId="0F439107" w14:textId="147D312D" w:rsidR="00BA6630" w:rsidRPr="00C152E3" w:rsidRDefault="00BA6630" w:rsidP="00C152E3">
      <w:pPr>
        <w:pStyle w:val="Heading2"/>
        <w:numPr>
          <w:ilvl w:val="0"/>
          <w:numId w:val="14"/>
        </w:numPr>
        <w:rPr>
          <w:sz w:val="24"/>
          <w:szCs w:val="24"/>
        </w:rPr>
      </w:pPr>
      <w:bookmarkStart w:id="87" w:name="_Toc54700386"/>
      <w:r w:rsidRPr="00C152E3">
        <w:rPr>
          <w:sz w:val="24"/>
          <w:szCs w:val="24"/>
        </w:rPr>
        <w:t>Publication of Salaries over £100,00</w:t>
      </w:r>
      <w:r w:rsidR="00D63665">
        <w:rPr>
          <w:sz w:val="24"/>
          <w:szCs w:val="24"/>
        </w:rPr>
        <w:t>0</w:t>
      </w:r>
      <w:r w:rsidRPr="00C152E3">
        <w:rPr>
          <w:sz w:val="24"/>
          <w:szCs w:val="24"/>
        </w:rPr>
        <w:t xml:space="preserve"> from January 202</w:t>
      </w:r>
      <w:r w:rsidR="00C152E3" w:rsidRPr="00C152E3">
        <w:rPr>
          <w:sz w:val="24"/>
          <w:szCs w:val="24"/>
        </w:rPr>
        <w:t>1</w:t>
      </w:r>
      <w:bookmarkEnd w:id="87"/>
    </w:p>
    <w:p w14:paraId="7A8BA63A" w14:textId="52F6B6CB" w:rsidR="00EE3339" w:rsidRDefault="00EE3339" w:rsidP="00EE3339">
      <w:pPr>
        <w:rPr>
          <w:rStyle w:val="Hyperlink"/>
          <w:rFonts w:cs="Arial"/>
          <w:color w:val="auto"/>
          <w:u w:val="none"/>
          <w:lang w:val="en"/>
        </w:rPr>
      </w:pPr>
      <w:r>
        <w:t>37.1</w:t>
      </w:r>
      <w:r>
        <w:tab/>
      </w:r>
      <w:r w:rsidR="006B1F38">
        <w:rPr>
          <w:rFonts w:cs="Arial"/>
          <w:bCs/>
          <w:lang w:val="en"/>
        </w:rPr>
        <w:t xml:space="preserve">These Regulations </w:t>
      </w:r>
      <w:r w:rsidRPr="006B1F38">
        <w:rPr>
          <w:rStyle w:val="Hyperlink"/>
          <w:rFonts w:cs="Arial"/>
          <w:color w:val="auto"/>
          <w:u w:val="none"/>
          <w:lang w:val="en"/>
        </w:rPr>
        <w:t>appl</w:t>
      </w:r>
      <w:r w:rsidR="006B1F38">
        <w:rPr>
          <w:rStyle w:val="Hyperlink"/>
          <w:rFonts w:cs="Arial"/>
          <w:color w:val="auto"/>
          <w:u w:val="none"/>
          <w:lang w:val="en"/>
        </w:rPr>
        <w:t>y</w:t>
      </w:r>
      <w:r w:rsidRPr="006B1F38">
        <w:rPr>
          <w:rStyle w:val="Hyperlink"/>
          <w:rFonts w:cs="Arial"/>
          <w:color w:val="auto"/>
          <w:u w:val="none"/>
          <w:lang w:val="en"/>
        </w:rPr>
        <w:t xml:space="preserve"> to </w:t>
      </w:r>
      <w:r w:rsidR="006B1F38">
        <w:rPr>
          <w:rStyle w:val="Hyperlink"/>
          <w:rFonts w:cs="Arial"/>
          <w:color w:val="auto"/>
          <w:u w:val="none"/>
          <w:lang w:val="en"/>
        </w:rPr>
        <w:t xml:space="preserve">staff paid on the </w:t>
      </w:r>
      <w:r w:rsidRPr="006B1F38">
        <w:rPr>
          <w:rStyle w:val="Hyperlink"/>
          <w:rFonts w:cs="Arial"/>
          <w:color w:val="auto"/>
          <w:u w:val="none"/>
          <w:lang w:val="en"/>
        </w:rPr>
        <w:t>leadership pay range and affects schools employing leaders paid on the leadership pay point</w:t>
      </w:r>
      <w:r w:rsidR="006B1F38">
        <w:rPr>
          <w:rStyle w:val="Hyperlink"/>
          <w:rFonts w:cs="Arial"/>
          <w:color w:val="auto"/>
          <w:u w:val="none"/>
          <w:lang w:val="en"/>
        </w:rPr>
        <w:t>s</w:t>
      </w:r>
      <w:r w:rsidRPr="006B1F38">
        <w:rPr>
          <w:rStyle w:val="Hyperlink"/>
          <w:rFonts w:cs="Arial"/>
          <w:color w:val="auto"/>
          <w:u w:val="none"/>
          <w:lang w:val="en"/>
        </w:rPr>
        <w:t xml:space="preserve"> L37 – L43</w:t>
      </w:r>
      <w:r w:rsidR="006B1F38">
        <w:rPr>
          <w:rStyle w:val="Hyperlink"/>
          <w:rFonts w:cs="Arial"/>
          <w:color w:val="auto"/>
          <w:u w:val="none"/>
          <w:lang w:val="en"/>
        </w:rPr>
        <w:t xml:space="preserve"> - </w:t>
      </w:r>
      <w:hyperlink r:id="rId30" w:history="1">
        <w:r w:rsidR="006B1F38" w:rsidRPr="006B1F38">
          <w:rPr>
            <w:rStyle w:val="Hyperlink"/>
            <w:rFonts w:cs="Arial"/>
            <w:b/>
            <w:lang w:val="en"/>
          </w:rPr>
          <w:t>Salaries over £100k to be published:  The School Information (England) Regulations 2020</w:t>
        </w:r>
      </w:hyperlink>
    </w:p>
    <w:p w14:paraId="5A75048E" w14:textId="456AC981" w:rsidR="00EE3339" w:rsidRPr="006B1F38" w:rsidRDefault="006B1F38" w:rsidP="006B1F38">
      <w:pPr>
        <w:rPr>
          <w:rFonts w:cs="Arial"/>
          <w:lang w:val="en"/>
        </w:rPr>
      </w:pPr>
      <w:r>
        <w:rPr>
          <w:rStyle w:val="Hyperlink"/>
          <w:rFonts w:cs="Arial"/>
          <w:color w:val="auto"/>
          <w:u w:val="none"/>
          <w:lang w:val="en"/>
        </w:rPr>
        <w:t>37.2</w:t>
      </w:r>
      <w:r>
        <w:rPr>
          <w:rStyle w:val="Hyperlink"/>
          <w:rFonts w:cs="Arial"/>
          <w:color w:val="auto"/>
          <w:u w:val="none"/>
          <w:lang w:val="en"/>
        </w:rPr>
        <w:tab/>
      </w:r>
      <w:r w:rsidR="00EE3339" w:rsidRPr="006B1F38">
        <w:rPr>
          <w:rFonts w:cs="Arial"/>
          <w:lang w:val="en"/>
        </w:rPr>
        <w:t>In 2019 the Department for Education ran a consultation entitled “The School Information (England) Regulations 2020 take effect from 1 January 2021 and require maintained schools to publish on their website the number of school employees (if any) whose gross annual salary is £100,000 or more in £10,000 bands. Schools may display this information however they wish, although we recommend doing so via a table.</w:t>
      </w:r>
    </w:p>
    <w:p w14:paraId="563C9905" w14:textId="200BD3DB" w:rsidR="00EE3339" w:rsidRPr="006B1F38" w:rsidRDefault="00EE3339" w:rsidP="006B1F38">
      <w:pPr>
        <w:pStyle w:val="ListParagraph"/>
        <w:numPr>
          <w:ilvl w:val="1"/>
          <w:numId w:val="38"/>
        </w:numPr>
        <w:rPr>
          <w:rFonts w:ascii="Arial" w:hAnsi="Arial" w:cs="Arial"/>
          <w:sz w:val="24"/>
          <w:szCs w:val="24"/>
        </w:rPr>
      </w:pPr>
      <w:r w:rsidRPr="006B1F38">
        <w:rPr>
          <w:rFonts w:ascii="Arial" w:hAnsi="Arial" w:cs="Arial"/>
          <w:sz w:val="24"/>
          <w:szCs w:val="24"/>
          <w:lang w:val="en"/>
        </w:rPr>
        <w:t xml:space="preserve">Schools must also publish a link to the specific page on the </w:t>
      </w:r>
      <w:hyperlink r:id="rId31" w:history="1">
        <w:r w:rsidRPr="006B1F38">
          <w:rPr>
            <w:rStyle w:val="Hyperlink"/>
            <w:rFonts w:ascii="Arial" w:hAnsi="Arial" w:cs="Arial"/>
            <w:sz w:val="24"/>
            <w:szCs w:val="24"/>
            <w:lang w:val="en"/>
          </w:rPr>
          <w:t>Schools Financial Benchmarking</w:t>
        </w:r>
      </w:hyperlink>
      <w:r w:rsidRPr="006B1F38">
        <w:rPr>
          <w:rFonts w:ascii="Arial" w:hAnsi="Arial" w:cs="Arial"/>
          <w:sz w:val="24"/>
          <w:szCs w:val="24"/>
          <w:lang w:val="en"/>
        </w:rPr>
        <w:t xml:space="preserve"> dedicated to their school using the unique reference number allocated to the school by the Department for Education. </w:t>
      </w:r>
    </w:p>
    <w:p w14:paraId="6DC7420F" w14:textId="43DFE961" w:rsidR="00EE3339" w:rsidRPr="006B1F38" w:rsidRDefault="00EE3339" w:rsidP="006B1F38">
      <w:pPr>
        <w:pStyle w:val="ListParagraph"/>
        <w:numPr>
          <w:ilvl w:val="1"/>
          <w:numId w:val="38"/>
        </w:numPr>
        <w:rPr>
          <w:rFonts w:ascii="Arial" w:hAnsi="Arial" w:cs="Arial"/>
          <w:sz w:val="24"/>
          <w:szCs w:val="24"/>
        </w:rPr>
      </w:pPr>
      <w:r w:rsidRPr="006B1F38">
        <w:rPr>
          <w:rFonts w:ascii="Arial" w:hAnsi="Arial" w:cs="Arial"/>
          <w:sz w:val="24"/>
          <w:szCs w:val="24"/>
          <w:lang w:val="en"/>
        </w:rPr>
        <w:t xml:space="preserve">After “urn=” </w:t>
      </w:r>
      <w:r w:rsidR="006B1F38" w:rsidRPr="006B1F38">
        <w:rPr>
          <w:rFonts w:ascii="Arial" w:hAnsi="Arial" w:cs="Arial"/>
          <w:sz w:val="24"/>
          <w:szCs w:val="24"/>
          <w:lang w:val="en"/>
        </w:rPr>
        <w:t>the</w:t>
      </w:r>
      <w:r w:rsidRPr="006B1F38">
        <w:rPr>
          <w:rFonts w:ascii="Arial" w:hAnsi="Arial" w:cs="Arial"/>
          <w:sz w:val="24"/>
          <w:szCs w:val="24"/>
          <w:lang w:val="en"/>
        </w:rPr>
        <w:t xml:space="preserve"> school’s UR</w:t>
      </w:r>
      <w:r w:rsidR="006B1F38" w:rsidRPr="006B1F38">
        <w:rPr>
          <w:rFonts w:ascii="Arial" w:hAnsi="Arial" w:cs="Arial"/>
          <w:sz w:val="24"/>
          <w:szCs w:val="24"/>
          <w:lang w:val="en"/>
        </w:rPr>
        <w:t xml:space="preserve"> will need to be inserted</w:t>
      </w:r>
      <w:r w:rsidRPr="006B1F38">
        <w:rPr>
          <w:rFonts w:ascii="Arial" w:hAnsi="Arial" w:cs="Arial"/>
          <w:sz w:val="24"/>
          <w:szCs w:val="24"/>
          <w:lang w:val="en"/>
        </w:rPr>
        <w:t xml:space="preserve">. </w:t>
      </w:r>
      <w:r w:rsidR="006B1F38" w:rsidRPr="006B1F38">
        <w:rPr>
          <w:rFonts w:ascii="Arial" w:hAnsi="Arial" w:cs="Arial"/>
          <w:sz w:val="24"/>
          <w:szCs w:val="24"/>
          <w:lang w:val="en"/>
        </w:rPr>
        <w:t xml:space="preserve">The school’s URN </w:t>
      </w:r>
      <w:r w:rsidRPr="006B1F38">
        <w:rPr>
          <w:rFonts w:ascii="Arial" w:hAnsi="Arial" w:cs="Arial"/>
          <w:sz w:val="24"/>
          <w:szCs w:val="24"/>
          <w:lang w:val="en"/>
        </w:rPr>
        <w:t xml:space="preserve">can </w:t>
      </w:r>
      <w:r w:rsidR="006B1F38" w:rsidRPr="006B1F38">
        <w:rPr>
          <w:rFonts w:ascii="Arial" w:hAnsi="Arial" w:cs="Arial"/>
          <w:sz w:val="24"/>
          <w:szCs w:val="24"/>
          <w:lang w:val="en"/>
        </w:rPr>
        <w:t xml:space="preserve">be found at </w:t>
      </w:r>
      <w:r w:rsidRPr="006B1F38">
        <w:rPr>
          <w:rFonts w:ascii="Arial" w:hAnsi="Arial" w:cs="Arial"/>
          <w:sz w:val="24"/>
          <w:szCs w:val="24"/>
          <w:lang w:val="en"/>
        </w:rPr>
        <w:t xml:space="preserve"> </w:t>
      </w:r>
      <w:hyperlink r:id="rId32" w:history="1">
        <w:r w:rsidRPr="006B1F38">
          <w:rPr>
            <w:rStyle w:val="Hyperlink"/>
            <w:rFonts w:ascii="Arial" w:hAnsi="Arial" w:cs="Arial"/>
            <w:sz w:val="24"/>
            <w:szCs w:val="24"/>
            <w:lang w:val="en"/>
          </w:rPr>
          <w:t>Get information about schools (GIAS)</w:t>
        </w:r>
      </w:hyperlink>
      <w:r w:rsidRPr="006B1F38">
        <w:rPr>
          <w:rFonts w:cs="Arial"/>
          <w:lang w:val="en"/>
        </w:rPr>
        <w:t>.</w:t>
      </w:r>
    </w:p>
    <w:p w14:paraId="38BC5815" w14:textId="1268A983" w:rsidR="00EE3339" w:rsidRPr="006B1F38" w:rsidRDefault="00EE3339" w:rsidP="006B1F38">
      <w:pPr>
        <w:pStyle w:val="ListParagraph"/>
        <w:numPr>
          <w:ilvl w:val="1"/>
          <w:numId w:val="38"/>
        </w:numPr>
        <w:rPr>
          <w:rFonts w:ascii="Arial" w:hAnsi="Arial" w:cs="Arial"/>
          <w:sz w:val="24"/>
          <w:szCs w:val="24"/>
        </w:rPr>
      </w:pPr>
      <w:r w:rsidRPr="006B1F38">
        <w:rPr>
          <w:rFonts w:ascii="Arial" w:hAnsi="Arial" w:cs="Arial"/>
          <w:sz w:val="24"/>
          <w:szCs w:val="24"/>
          <w:lang w:val="en"/>
        </w:rPr>
        <w:t xml:space="preserve">Further guidance relating to the information that schools must publish online is </w:t>
      </w:r>
      <w:hyperlink r:id="rId33" w:history="1">
        <w:r w:rsidRPr="006B1F38">
          <w:rPr>
            <w:rStyle w:val="Hyperlink"/>
            <w:rFonts w:ascii="Arial" w:hAnsi="Arial" w:cs="Arial"/>
            <w:sz w:val="24"/>
            <w:szCs w:val="24"/>
            <w:lang w:val="en"/>
          </w:rPr>
          <w:t>available on GOV.UK</w:t>
        </w:r>
      </w:hyperlink>
      <w:r w:rsidRPr="006B1F38">
        <w:rPr>
          <w:rFonts w:ascii="Arial" w:hAnsi="Arial" w:cs="Arial"/>
          <w:sz w:val="24"/>
          <w:szCs w:val="24"/>
          <w:lang w:val="en"/>
        </w:rPr>
        <w:t>.</w:t>
      </w:r>
    </w:p>
    <w:p w14:paraId="3A452C1C" w14:textId="77777777" w:rsidR="002C3689" w:rsidRPr="0029565F" w:rsidRDefault="003A47DD" w:rsidP="003A47DD">
      <w:pPr>
        <w:pStyle w:val="Heading2"/>
        <w:keepLines/>
      </w:pPr>
      <w:bookmarkStart w:id="88" w:name="_Toc54700387"/>
      <w:r w:rsidRPr="0029565F">
        <w:t>Equality impact assessment</w:t>
      </w:r>
      <w:bookmarkEnd w:id="88"/>
    </w:p>
    <w:p w14:paraId="0ABA01F2" w14:textId="77777777" w:rsidR="00137C46" w:rsidRPr="0029565F" w:rsidRDefault="003A47DD" w:rsidP="005D70FF">
      <w:pPr>
        <w:pStyle w:val="Numbered"/>
        <w:keepLines/>
        <w:numPr>
          <w:ilvl w:val="0"/>
          <w:numId w:val="14"/>
        </w:numPr>
        <w:spacing w:before="120"/>
        <w:outlineLvl w:val="3"/>
        <w:rPr>
          <w:b/>
        </w:rPr>
      </w:pPr>
      <w:bookmarkStart w:id="89" w:name="_Toc397434758"/>
      <w:bookmarkStart w:id="90" w:name="_Toc397434928"/>
      <w:bookmarkStart w:id="91" w:name="_Toc397435021"/>
      <w:bookmarkStart w:id="92" w:name="_Toc397435099"/>
      <w:bookmarkStart w:id="93" w:name="_Toc397435142"/>
      <w:bookmarkStart w:id="94" w:name="_Toc397436692"/>
      <w:bookmarkStart w:id="95" w:name="_Toc397437117"/>
      <w:bookmarkStart w:id="96" w:name="_Toc397437276"/>
      <w:bookmarkStart w:id="97" w:name="_Toc397437385"/>
      <w:bookmarkStart w:id="98" w:name="_Toc397434759"/>
      <w:bookmarkStart w:id="99" w:name="_Toc397434929"/>
      <w:bookmarkStart w:id="100" w:name="_Toc397435022"/>
      <w:bookmarkStart w:id="101" w:name="_Toc397435100"/>
      <w:bookmarkStart w:id="102" w:name="_Toc397435143"/>
      <w:bookmarkStart w:id="103" w:name="_Toc397436693"/>
      <w:bookmarkStart w:id="104" w:name="_Toc397437118"/>
      <w:bookmarkStart w:id="105" w:name="_Toc397437277"/>
      <w:bookmarkStart w:id="106" w:name="_Toc397437386"/>
      <w:bookmarkEnd w:id="76"/>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29565F">
        <w:rPr>
          <w:b/>
        </w:rPr>
        <w:t>Monitoring the impact of the p</w:t>
      </w:r>
      <w:r w:rsidR="00137C46" w:rsidRPr="0029565F">
        <w:rPr>
          <w:b/>
        </w:rPr>
        <w:t>olicy</w:t>
      </w:r>
    </w:p>
    <w:p w14:paraId="1CE9573D" w14:textId="088F2EEC" w:rsidR="005D70FF" w:rsidRDefault="002C3689" w:rsidP="003A47DD">
      <w:pPr>
        <w:pStyle w:val="Numbered"/>
        <w:keepLines/>
        <w:numPr>
          <w:ilvl w:val="1"/>
          <w:numId w:val="14"/>
        </w:numPr>
        <w:spacing w:before="120"/>
        <w:ind w:left="567" w:hanging="567"/>
        <w:outlineLvl w:val="3"/>
        <w:rPr>
          <w:rFonts w:cs="Arial"/>
        </w:rPr>
      </w:pPr>
      <w:r w:rsidRPr="005D70FF">
        <w:rPr>
          <w:rFonts w:cs="Arial"/>
        </w:rPr>
        <w:t xml:space="preserve">The </w:t>
      </w:r>
      <w:r w:rsidR="00D01FC0" w:rsidRPr="005D70FF">
        <w:rPr>
          <w:rFonts w:cs="Arial"/>
        </w:rPr>
        <w:t>Governing board</w:t>
      </w:r>
      <w:r w:rsidRPr="005D70FF">
        <w:rPr>
          <w:rFonts w:cs="Arial"/>
        </w:rPr>
        <w:t xml:space="preserve"> will monitor the outcomes and impact of this policy on a regular basis</w:t>
      </w:r>
      <w:r w:rsidR="00D63665">
        <w:rPr>
          <w:rFonts w:cs="Arial"/>
        </w:rPr>
        <w:t>,</w:t>
      </w:r>
      <w:r w:rsidRPr="005D70FF">
        <w:rPr>
          <w:rFonts w:cs="Arial"/>
        </w:rPr>
        <w:t xml:space="preserve"> yearly</w:t>
      </w:r>
      <w:bookmarkStart w:id="107" w:name="_Toc462753170"/>
      <w:r w:rsidR="005D70FF">
        <w:rPr>
          <w:rFonts w:cs="Arial"/>
        </w:rPr>
        <w:t>.</w:t>
      </w:r>
    </w:p>
    <w:p w14:paraId="3EC48D16" w14:textId="0B3E887F" w:rsidR="005D70FF" w:rsidRPr="006B1F38" w:rsidRDefault="002C3689" w:rsidP="00705FCD">
      <w:pPr>
        <w:pStyle w:val="Numbered"/>
        <w:keepLines/>
        <w:numPr>
          <w:ilvl w:val="1"/>
          <w:numId w:val="14"/>
        </w:numPr>
        <w:spacing w:before="120"/>
        <w:ind w:left="567" w:hanging="567"/>
        <w:outlineLvl w:val="3"/>
        <w:rPr>
          <w:rFonts w:cs="Arial"/>
        </w:rPr>
      </w:pPr>
      <w:r w:rsidRPr="005D70FF">
        <w:t xml:space="preserve">For example, by monitoring trends, the </w:t>
      </w:r>
      <w:r w:rsidR="00D01FC0" w:rsidRPr="005D70FF">
        <w:t>Governing board</w:t>
      </w:r>
      <w:r w:rsidRPr="005D70FF">
        <w:t xml:space="preserve"> may find over time that teachers who work part-time do not progress up the relevant pay </w:t>
      </w:r>
      <w:r w:rsidR="00692605" w:rsidRPr="005D70FF">
        <w:t>range</w:t>
      </w:r>
      <w:r w:rsidRPr="005D70FF">
        <w:t xml:space="preserve"> as quickly as full-time sta</w:t>
      </w:r>
      <w:bookmarkStart w:id="108" w:name="_Appendix_A_-"/>
      <w:bookmarkStart w:id="109" w:name="_Appendix_A_–"/>
      <w:bookmarkEnd w:id="108"/>
      <w:bookmarkEnd w:id="109"/>
      <w:r w:rsidR="00DC0E69" w:rsidRPr="005D70FF">
        <w:t>ff.</w:t>
      </w:r>
      <w:bookmarkEnd w:id="107"/>
    </w:p>
    <w:p w14:paraId="7976573C" w14:textId="2C426C39" w:rsidR="00D21385" w:rsidRPr="006B1F38" w:rsidRDefault="00CD6216" w:rsidP="006B1F38">
      <w:pPr>
        <w:pStyle w:val="Numbered"/>
        <w:keepLines/>
        <w:numPr>
          <w:ilvl w:val="1"/>
          <w:numId w:val="14"/>
        </w:numPr>
        <w:spacing w:before="120"/>
        <w:ind w:left="567" w:hanging="567"/>
        <w:outlineLvl w:val="3"/>
        <w:rPr>
          <w:rFonts w:cs="Arial"/>
        </w:rPr>
      </w:pPr>
      <w:r w:rsidRPr="006B1F38">
        <w:t>T</w:t>
      </w:r>
      <w:r w:rsidR="0013363F" w:rsidRPr="006B1F38">
        <w:t xml:space="preserve">he </w:t>
      </w:r>
      <w:r w:rsidR="00D01FC0" w:rsidRPr="006B1F38">
        <w:t>Governing board</w:t>
      </w:r>
      <w:r w:rsidR="0013363F" w:rsidRPr="006B1F38">
        <w:t xml:space="preserve"> </w:t>
      </w:r>
      <w:r w:rsidRPr="006B1F38">
        <w:t xml:space="preserve">may be requested to </w:t>
      </w:r>
      <w:r w:rsidR="0013363F" w:rsidRPr="006B1F38">
        <w:t>comply with the public sector equality duty under the Equality Act 2010</w:t>
      </w:r>
      <w:r w:rsidR="005D70FF" w:rsidRPr="006B1F38">
        <w:t xml:space="preserve">. </w:t>
      </w:r>
      <w:r w:rsidR="0064433B" w:rsidRPr="006B1F38">
        <w:t>This is</w:t>
      </w:r>
      <w:r w:rsidR="0013363F" w:rsidRPr="006B1F38">
        <w:t xml:space="preserve"> in respect of the requirement to publish </w:t>
      </w:r>
      <w:r w:rsidR="0064433B" w:rsidRPr="006B1F38">
        <w:t xml:space="preserve">anonymised </w:t>
      </w:r>
      <w:r w:rsidR="0013363F" w:rsidRPr="006B1F38">
        <w:t xml:space="preserve">records on the distribution of the teaching workforce at difference levels, and whether they are full or part time </w:t>
      </w:r>
      <w:r w:rsidRPr="006B1F38">
        <w:t>to recognised trade unions representatives</w:t>
      </w:r>
      <w:r w:rsidR="00080FEE" w:rsidRPr="006B1F38">
        <w:t>. P</w:t>
      </w:r>
      <w:r w:rsidR="0013363F" w:rsidRPr="006B1F38">
        <w:t>lease refer to paragraph 3</w:t>
      </w:r>
      <w:r w:rsidR="004E39C1" w:rsidRPr="006B1F38">
        <w:t>4</w:t>
      </w:r>
      <w:r w:rsidR="0013363F" w:rsidRPr="006B1F38">
        <w:t xml:space="preserve"> in the </w:t>
      </w:r>
      <w:r w:rsidR="005D70FF" w:rsidRPr="006B1F38">
        <w:rPr>
          <w:color w:val="0000FF"/>
        </w:rPr>
        <w:t xml:space="preserve">Supplementary guidance document </w:t>
      </w:r>
      <w:r w:rsidR="005E478F" w:rsidRPr="006B1F38">
        <w:t>and</w:t>
      </w:r>
      <w:r w:rsidR="007B328A" w:rsidRPr="006B1F38">
        <w:t xml:space="preserve"> pages 3</w:t>
      </w:r>
      <w:r w:rsidR="004630EB" w:rsidRPr="006B1F38">
        <w:t>8</w:t>
      </w:r>
      <w:r w:rsidR="007B328A" w:rsidRPr="006B1F38">
        <w:t xml:space="preserve"> – </w:t>
      </w:r>
      <w:r w:rsidR="004630EB" w:rsidRPr="006B1F38">
        <w:t>43</w:t>
      </w:r>
      <w:r w:rsidR="007B328A" w:rsidRPr="006B1F38">
        <w:t xml:space="preserve"> of </w:t>
      </w:r>
      <w:r w:rsidR="004630EB" w:rsidRPr="006B1F38">
        <w:t>DfE guidance -</w:t>
      </w:r>
      <w:r w:rsidR="00340585" w:rsidRPr="006B1F38">
        <w:t xml:space="preserve"> </w:t>
      </w:r>
      <w:r w:rsidR="007B328A" w:rsidRPr="006B1F38">
        <w:rPr>
          <w:color w:val="0000FF"/>
        </w:rPr>
        <w:t xml:space="preserve">Implementing your school’s approach to pay </w:t>
      </w:r>
      <w:r w:rsidR="004630EB" w:rsidRPr="006B1F38">
        <w:rPr>
          <w:color w:val="0000FF"/>
        </w:rPr>
        <w:t>– March 2019</w:t>
      </w:r>
      <w:r w:rsidR="001D0B61" w:rsidRPr="006B1F38">
        <w:rPr>
          <w:color w:val="0000FF"/>
        </w:rPr>
        <w:t xml:space="preserve"> </w:t>
      </w:r>
      <w:r w:rsidRPr="006B1F38">
        <w:t>for further informatio</w:t>
      </w:r>
      <w:r w:rsidR="006B1F38">
        <w:t>n.</w:t>
      </w:r>
    </w:p>
    <w:p w14:paraId="1D510180" w14:textId="77777777" w:rsidR="00D21385" w:rsidRPr="00BE7C3A" w:rsidRDefault="00D21385" w:rsidP="00D21385">
      <w:pPr>
        <w:pStyle w:val="Heading2"/>
        <w:keepLines/>
        <w:rPr>
          <w:color w:val="000000"/>
          <w:lang w:val="en-US" w:eastAsia="en-US"/>
        </w:rPr>
      </w:pPr>
      <w:bookmarkStart w:id="110" w:name="_Toc23326828"/>
      <w:bookmarkStart w:id="111" w:name="_Toc54700388"/>
      <w:r>
        <w:rPr>
          <w:color w:val="000000"/>
          <w:lang w:val="en-US" w:eastAsia="en-US"/>
        </w:rPr>
        <w:t>Equalities and schools</w:t>
      </w:r>
      <w:bookmarkEnd w:id="110"/>
      <w:bookmarkEnd w:id="111"/>
    </w:p>
    <w:p w14:paraId="47B356A7" w14:textId="77777777" w:rsidR="00D21385" w:rsidRPr="004C7592" w:rsidRDefault="00D21385" w:rsidP="00D21385">
      <w:pPr>
        <w:pStyle w:val="Heading3"/>
        <w:keepLines/>
        <w:numPr>
          <w:ilvl w:val="0"/>
          <w:numId w:val="14"/>
        </w:numPr>
        <w:tabs>
          <w:tab w:val="clear" w:pos="360"/>
          <w:tab w:val="num" w:pos="567"/>
        </w:tabs>
        <w:ind w:left="567" w:hanging="567"/>
        <w:rPr>
          <w:szCs w:val="24"/>
        </w:rPr>
      </w:pPr>
      <w:r w:rsidRPr="004C7592">
        <w:rPr>
          <w:szCs w:val="24"/>
        </w:rPr>
        <w:t>Equali</w:t>
      </w:r>
      <w:r>
        <w:rPr>
          <w:szCs w:val="24"/>
        </w:rPr>
        <w:t xml:space="preserve">ties considerations as part of the appraisal and pay determination </w:t>
      </w:r>
    </w:p>
    <w:p w14:paraId="461025A0" w14:textId="09A31724" w:rsidR="00D21385" w:rsidRPr="004C7592" w:rsidRDefault="00D21385" w:rsidP="00D21385">
      <w:pPr>
        <w:pStyle w:val="Numbered"/>
        <w:keepLines/>
        <w:numPr>
          <w:ilvl w:val="1"/>
          <w:numId w:val="14"/>
        </w:numPr>
        <w:tabs>
          <w:tab w:val="num" w:pos="567"/>
        </w:tabs>
        <w:ind w:left="567" w:hanging="567"/>
        <w:outlineLvl w:val="3"/>
        <w:rPr>
          <w:rFonts w:cs="Arial"/>
        </w:rPr>
      </w:pPr>
      <w:r>
        <w:rPr>
          <w:rFonts w:cs="Arial"/>
        </w:rPr>
        <w:t xml:space="preserve">The Governing board will </w:t>
      </w:r>
      <w:r w:rsidRPr="004C7592">
        <w:rPr>
          <w:rFonts w:cs="Arial"/>
        </w:rPr>
        <w:t xml:space="preserve">refer to the DfE publication </w:t>
      </w:r>
      <w:hyperlink r:id="rId34" w:history="1">
        <w:r w:rsidRPr="00830670">
          <w:rPr>
            <w:rStyle w:val="Hyperlink"/>
            <w:rFonts w:cs="Arial"/>
          </w:rPr>
          <w:t xml:space="preserve">“Equalities considerations as part of the appraisal and pay determination process” June 2014. </w:t>
        </w:r>
      </w:hyperlink>
      <w:r>
        <w:rPr>
          <w:rFonts w:cs="Arial"/>
        </w:rPr>
        <w:t xml:space="preserve"> This provides departmental advice for local authorities, maintained schools, academies and free schools:</w:t>
      </w:r>
    </w:p>
    <w:p w14:paraId="7821C68E" w14:textId="285847D1" w:rsidR="00D21385" w:rsidRPr="004C7592" w:rsidRDefault="00D21385" w:rsidP="00D21385">
      <w:pPr>
        <w:pStyle w:val="Numbered"/>
        <w:keepLines/>
        <w:ind w:left="567"/>
        <w:outlineLvl w:val="3"/>
        <w:rPr>
          <w:rFonts w:cs="Arial"/>
        </w:rPr>
      </w:pPr>
      <w:r>
        <w:rPr>
          <w:rFonts w:cs="Arial"/>
        </w:rPr>
        <w:t xml:space="preserve">The </w:t>
      </w:r>
      <w:r w:rsidRPr="004C7592">
        <w:rPr>
          <w:rFonts w:cs="Arial"/>
        </w:rPr>
        <w:t xml:space="preserve">Governing </w:t>
      </w:r>
      <w:r>
        <w:rPr>
          <w:rFonts w:cs="Arial"/>
        </w:rPr>
        <w:t>board</w:t>
      </w:r>
      <w:r w:rsidRPr="004C7592">
        <w:rPr>
          <w:rFonts w:cs="Arial"/>
        </w:rPr>
        <w:t xml:space="preserve"> </w:t>
      </w:r>
      <w:r>
        <w:rPr>
          <w:rFonts w:cs="Arial"/>
        </w:rPr>
        <w:t>will</w:t>
      </w:r>
      <w:r w:rsidRPr="004C7592">
        <w:rPr>
          <w:rFonts w:cs="Arial"/>
        </w:rPr>
        <w:t xml:space="preserve"> also refer to </w:t>
      </w:r>
      <w:hyperlink r:id="rId35" w:history="1">
        <w:r w:rsidRPr="00830670">
          <w:rPr>
            <w:rStyle w:val="Hyperlink"/>
            <w:rFonts w:cs="Arial"/>
          </w:rPr>
          <w:t>DfE guidance - Implementing your school’s approach to pay</w:t>
        </w:r>
      </w:hyperlink>
      <w:r w:rsidRPr="004C7592">
        <w:rPr>
          <w:rFonts w:cs="Arial"/>
        </w:rPr>
        <w:t xml:space="preserve"> – pages 3</w:t>
      </w:r>
      <w:r>
        <w:rPr>
          <w:rFonts w:cs="Arial"/>
        </w:rPr>
        <w:t>8</w:t>
      </w:r>
      <w:r w:rsidRPr="004C7592">
        <w:rPr>
          <w:rFonts w:cs="Arial"/>
        </w:rPr>
        <w:t xml:space="preserve"> – </w:t>
      </w:r>
      <w:r>
        <w:rPr>
          <w:rFonts w:cs="Arial"/>
        </w:rPr>
        <w:t>43</w:t>
      </w:r>
      <w:r w:rsidRPr="004C7592">
        <w:rPr>
          <w:rFonts w:cs="Arial"/>
        </w:rPr>
        <w:t>.</w:t>
      </w:r>
    </w:p>
    <w:p w14:paraId="6C69E942" w14:textId="3D5FFF3E" w:rsidR="005D67BF" w:rsidRPr="0029565F" w:rsidRDefault="00D66452" w:rsidP="003A47DD">
      <w:pPr>
        <w:pStyle w:val="Heading2"/>
        <w:keepLines/>
      </w:pPr>
      <w:r w:rsidRPr="0029565F">
        <w:br w:type="page"/>
      </w:r>
      <w:bookmarkStart w:id="112" w:name="_Toc54700389"/>
      <w:r w:rsidR="005D67BF" w:rsidRPr="0029565F">
        <w:t xml:space="preserve">Appendix </w:t>
      </w:r>
      <w:bookmarkEnd w:id="43"/>
      <w:r w:rsidR="00BC1C34" w:rsidRPr="0029565F">
        <w:t xml:space="preserve">A – School </w:t>
      </w:r>
      <w:r w:rsidR="007D2E85" w:rsidRPr="0029565F">
        <w:t>staffing s</w:t>
      </w:r>
      <w:r w:rsidR="00744E82" w:rsidRPr="0029565F">
        <w:t>tructure</w:t>
      </w:r>
      <w:r w:rsidR="006F3060">
        <w:t xml:space="preserve"> for </w:t>
      </w:r>
      <w:r w:rsidR="00893CBB">
        <w:t>20</w:t>
      </w:r>
      <w:r w:rsidR="00D05086">
        <w:t>20-21</w:t>
      </w:r>
      <w:bookmarkEnd w:id="112"/>
    </w:p>
    <w:p w14:paraId="3626685C" w14:textId="77777777" w:rsidR="00744E82" w:rsidRPr="0029565F" w:rsidRDefault="00744E82" w:rsidP="00744E82"/>
    <w:p w14:paraId="00D06000" w14:textId="77777777" w:rsidR="00BC1C34" w:rsidRDefault="00BC1C34" w:rsidP="005D67BF">
      <w:pPr>
        <w:pStyle w:val="Heading2"/>
        <w:keepLines/>
      </w:pPr>
      <w:bookmarkStart w:id="113" w:name="_Appendix_B_-"/>
      <w:bookmarkStart w:id="114" w:name="_Toc335126851"/>
      <w:bookmarkEnd w:id="113"/>
    </w:p>
    <w:p w14:paraId="2D986304" w14:textId="77777777" w:rsidR="00D63665" w:rsidRDefault="00D63665" w:rsidP="00D63665">
      <w:r>
        <w:t>Executive Head Teacher</w:t>
      </w:r>
    </w:p>
    <w:p w14:paraId="176AE0B3" w14:textId="77777777" w:rsidR="00D63665" w:rsidRDefault="00D63665" w:rsidP="00D63665"/>
    <w:p w14:paraId="553E37AF" w14:textId="77777777" w:rsidR="00D63665" w:rsidRDefault="00D63665" w:rsidP="00D63665">
      <w:r>
        <w:t>Head of School</w:t>
      </w:r>
    </w:p>
    <w:p w14:paraId="2969EEA2" w14:textId="77777777" w:rsidR="00D63665" w:rsidRDefault="00D63665" w:rsidP="00D63665"/>
    <w:p w14:paraId="3F7D7352" w14:textId="77777777" w:rsidR="00D63665" w:rsidRDefault="00D63665" w:rsidP="00D63665">
      <w:r>
        <w:t>Inclusion Manager</w:t>
      </w:r>
    </w:p>
    <w:p w14:paraId="7160A55C" w14:textId="77777777" w:rsidR="00D63665" w:rsidRDefault="00D63665" w:rsidP="00D63665"/>
    <w:p w14:paraId="67D16011" w14:textId="77777777" w:rsidR="00D63665" w:rsidRDefault="00D63665" w:rsidP="00D63665">
      <w:r>
        <w:t>Deputy Head of School</w:t>
      </w:r>
    </w:p>
    <w:p w14:paraId="71C2C577" w14:textId="77777777" w:rsidR="00D63665" w:rsidRDefault="00D63665" w:rsidP="00D63665"/>
    <w:p w14:paraId="6038EBC0" w14:textId="3B4F2875" w:rsidR="00D63665" w:rsidRPr="00D63665" w:rsidRDefault="00D63665" w:rsidP="00D63665">
      <w:pPr>
        <w:sectPr w:rsidR="00D63665" w:rsidRPr="00D63665" w:rsidSect="00663340">
          <w:type w:val="continuous"/>
          <w:pgSz w:w="11907" w:h="16840" w:code="9"/>
          <w:pgMar w:top="1134" w:right="1134" w:bottom="1134" w:left="1134" w:header="709" w:footer="709" w:gutter="0"/>
          <w:cols w:space="708"/>
          <w:docGrid w:linePitch="360"/>
        </w:sectPr>
      </w:pPr>
      <w:r>
        <w:t>Class Teachers</w:t>
      </w:r>
    </w:p>
    <w:p w14:paraId="02B90A95" w14:textId="33C9179A" w:rsidR="005D67BF" w:rsidRPr="0029565F" w:rsidRDefault="005D67BF" w:rsidP="005D67BF">
      <w:pPr>
        <w:pStyle w:val="Heading2"/>
        <w:keepLines/>
      </w:pPr>
      <w:bookmarkStart w:id="115" w:name="_Appendix_B_–"/>
      <w:bookmarkStart w:id="116" w:name="_Toc54700390"/>
      <w:bookmarkEnd w:id="115"/>
      <w:r w:rsidRPr="0029565F">
        <w:t xml:space="preserve">Appendix </w:t>
      </w:r>
      <w:r w:rsidR="00BC1C34" w:rsidRPr="0029565F">
        <w:t xml:space="preserve">B – </w:t>
      </w:r>
      <w:r w:rsidR="00744E82" w:rsidRPr="0029565F">
        <w:t>Support Staff Pay Policy</w:t>
      </w:r>
      <w:bookmarkEnd w:id="116"/>
      <w:r w:rsidRPr="0029565F">
        <w:t xml:space="preserve"> </w:t>
      </w:r>
      <w:bookmarkEnd w:id="114"/>
    </w:p>
    <w:p w14:paraId="0FD7A3D7" w14:textId="77777777" w:rsidR="00744E82" w:rsidRPr="0029565F" w:rsidRDefault="00744E82" w:rsidP="00744E82">
      <w:pPr>
        <w:spacing w:after="0"/>
        <w:ind w:left="360"/>
        <w:rPr>
          <w:rFonts w:cs="Arial"/>
        </w:rPr>
      </w:pPr>
    </w:p>
    <w:p w14:paraId="5EB51AF0" w14:textId="77777777" w:rsidR="00744E82" w:rsidRPr="0029565F" w:rsidRDefault="00744E82" w:rsidP="00606949">
      <w:pPr>
        <w:keepNext/>
        <w:keepLines/>
        <w:numPr>
          <w:ilvl w:val="0"/>
          <w:numId w:val="20"/>
        </w:numPr>
        <w:spacing w:before="120"/>
        <w:ind w:left="346" w:hanging="346"/>
        <w:rPr>
          <w:rFonts w:cs="Arial"/>
          <w:b/>
        </w:rPr>
      </w:pPr>
      <w:r w:rsidRPr="0029565F">
        <w:rPr>
          <w:rFonts w:cs="Arial"/>
          <w:b/>
          <w:bCs/>
        </w:rPr>
        <w:t>General</w:t>
      </w:r>
    </w:p>
    <w:p w14:paraId="64D763FE" w14:textId="77777777" w:rsidR="00744E82" w:rsidRPr="0029565F" w:rsidRDefault="00744E82" w:rsidP="00606949">
      <w:pPr>
        <w:keepLines/>
        <w:numPr>
          <w:ilvl w:val="1"/>
          <w:numId w:val="20"/>
        </w:numPr>
        <w:tabs>
          <w:tab w:val="clear" w:pos="792"/>
          <w:tab w:val="num" w:pos="630"/>
        </w:tabs>
        <w:ind w:left="630" w:hanging="630"/>
        <w:rPr>
          <w:rFonts w:cs="Arial"/>
        </w:rPr>
      </w:pPr>
      <w:r w:rsidRPr="0029565F">
        <w:rPr>
          <w:rFonts w:cs="Arial"/>
          <w:spacing w:val="-1"/>
        </w:rPr>
        <w:t xml:space="preserve">The </w:t>
      </w:r>
      <w:r w:rsidR="00D01FC0">
        <w:rPr>
          <w:rFonts w:cs="Arial"/>
          <w:spacing w:val="-1"/>
        </w:rPr>
        <w:t>Governing board</w:t>
      </w:r>
      <w:r w:rsidRPr="0029565F">
        <w:rPr>
          <w:rFonts w:cs="Arial"/>
          <w:spacing w:val="-1"/>
        </w:rPr>
        <w:t xml:space="preserve"> recognises and values the contribution made to the school by support staff.  </w:t>
      </w:r>
    </w:p>
    <w:p w14:paraId="3623FC50" w14:textId="77777777" w:rsidR="00744E82" w:rsidRPr="0029565F" w:rsidRDefault="00744E82" w:rsidP="00606949">
      <w:pPr>
        <w:keepLines/>
        <w:numPr>
          <w:ilvl w:val="1"/>
          <w:numId w:val="20"/>
        </w:numPr>
        <w:tabs>
          <w:tab w:val="clear" w:pos="792"/>
          <w:tab w:val="num" w:pos="630"/>
        </w:tabs>
        <w:ind w:left="630" w:hanging="630"/>
        <w:rPr>
          <w:rFonts w:cs="Arial"/>
        </w:rPr>
      </w:pPr>
      <w:r w:rsidRPr="0029565F">
        <w:rPr>
          <w:rFonts w:cs="Arial"/>
        </w:rPr>
        <w:t>While it is a statutory requirement for schools to have an adopted pay policy in place, this statutory requirement does not extend to support staff.  Although the framework outlined below for a support staff pay policy is entirely optional, schools are encouraged to develop a process for rewarding their support staff, ensuring the principles of fairness and equality are observed.</w:t>
      </w:r>
    </w:p>
    <w:p w14:paraId="1D935844" w14:textId="77777777" w:rsidR="0047042E" w:rsidRDefault="00744E82" w:rsidP="00606949">
      <w:pPr>
        <w:keepLines/>
        <w:numPr>
          <w:ilvl w:val="1"/>
          <w:numId w:val="20"/>
        </w:numPr>
        <w:tabs>
          <w:tab w:val="clear" w:pos="792"/>
          <w:tab w:val="num" w:pos="630"/>
        </w:tabs>
        <w:ind w:left="630" w:hanging="630"/>
        <w:rPr>
          <w:rFonts w:cs="Arial"/>
        </w:rPr>
      </w:pPr>
      <w:r w:rsidRPr="0029565F">
        <w:rPr>
          <w:rFonts w:cs="Arial"/>
        </w:rPr>
        <w:t>Salaries paid to support staff will comply with all national and local agreements on employees’ pay and conditions of service which are derived from the National Joint Council for Local Government Services and underpinned by the NJC local government services'</w:t>
      </w:r>
      <w:r w:rsidR="006707EE">
        <w:rPr>
          <w:rFonts w:cs="Arial"/>
        </w:rPr>
        <w:t xml:space="preserve"> Job Evaluation Scheme. </w:t>
      </w:r>
      <w:r w:rsidRPr="0029565F">
        <w:rPr>
          <w:rFonts w:cs="Arial"/>
        </w:rPr>
        <w:t xml:space="preserve">The County Council has local pay scales and </w:t>
      </w:r>
      <w:r w:rsidR="009666F0">
        <w:rPr>
          <w:rFonts w:cs="Arial"/>
        </w:rPr>
        <w:t xml:space="preserve">has </w:t>
      </w:r>
      <w:r w:rsidRPr="0029565F">
        <w:rPr>
          <w:rFonts w:cs="Arial"/>
        </w:rPr>
        <w:t>transferr</w:t>
      </w:r>
      <w:r w:rsidR="009666F0">
        <w:rPr>
          <w:rFonts w:cs="Arial"/>
        </w:rPr>
        <w:t>ed</w:t>
      </w:r>
      <w:r w:rsidRPr="0029565F">
        <w:rPr>
          <w:rFonts w:cs="Arial"/>
        </w:rPr>
        <w:t xml:space="preserve"> </w:t>
      </w:r>
      <w:r w:rsidR="009666F0">
        <w:rPr>
          <w:rFonts w:cs="Arial"/>
        </w:rPr>
        <w:t xml:space="preserve">the majority of </w:t>
      </w:r>
      <w:r w:rsidRPr="0029565F">
        <w:rPr>
          <w:rFonts w:cs="Arial"/>
        </w:rPr>
        <w:t xml:space="preserve">staff groups </w:t>
      </w:r>
      <w:r w:rsidR="009666F0">
        <w:rPr>
          <w:rFonts w:cs="Arial"/>
        </w:rPr>
        <w:t xml:space="preserve">in maintained schools </w:t>
      </w:r>
      <w:r w:rsidRPr="0029565F">
        <w:rPr>
          <w:rFonts w:cs="Arial"/>
        </w:rPr>
        <w:t xml:space="preserve">to these scales therefore </w:t>
      </w:r>
      <w:r w:rsidR="009666F0">
        <w:rPr>
          <w:rFonts w:cs="Arial"/>
        </w:rPr>
        <w:t>few</w:t>
      </w:r>
      <w:r w:rsidRPr="0029565F">
        <w:rPr>
          <w:rFonts w:cs="Arial"/>
        </w:rPr>
        <w:t xml:space="preserve"> posts remain on the fo</w:t>
      </w:r>
      <w:r w:rsidR="0047042E">
        <w:rPr>
          <w:rFonts w:cs="Arial"/>
        </w:rPr>
        <w:t>rmer national (NJC) pay scales.</w:t>
      </w:r>
    </w:p>
    <w:p w14:paraId="0041A65B" w14:textId="3B7FF5DE" w:rsidR="00830670" w:rsidRDefault="00744E82" w:rsidP="00830670">
      <w:pPr>
        <w:keepLines/>
        <w:numPr>
          <w:ilvl w:val="1"/>
          <w:numId w:val="20"/>
        </w:numPr>
        <w:tabs>
          <w:tab w:val="clear" w:pos="792"/>
          <w:tab w:val="num" w:pos="630"/>
        </w:tabs>
        <w:ind w:left="630" w:hanging="630"/>
        <w:rPr>
          <w:rStyle w:val="downloaddetail1"/>
          <w:rFonts w:cs="Arial"/>
          <w:color w:val="auto"/>
          <w:sz w:val="24"/>
          <w:szCs w:val="24"/>
        </w:rPr>
      </w:pPr>
      <w:r w:rsidRPr="0047042E">
        <w:rPr>
          <w:rStyle w:val="downloaddetail1"/>
          <w:rFonts w:cs="Arial"/>
          <w:color w:val="auto"/>
          <w:sz w:val="24"/>
          <w:szCs w:val="24"/>
        </w:rPr>
        <w:t xml:space="preserve">Guidance for schools on </w:t>
      </w:r>
      <w:hyperlink r:id="rId36" w:history="1">
        <w:r w:rsidR="0069531D" w:rsidRPr="00830670">
          <w:rPr>
            <w:rStyle w:val="Hyperlink"/>
            <w:rFonts w:cs="Arial"/>
          </w:rPr>
          <w:t xml:space="preserve">pay and benefits </w:t>
        </w:r>
        <w:r w:rsidRPr="00830670">
          <w:rPr>
            <w:rStyle w:val="Hyperlink"/>
            <w:rFonts w:cs="Arial"/>
          </w:rPr>
          <w:t>for support staff</w:t>
        </w:r>
      </w:hyperlink>
      <w:r w:rsidRPr="0047042E">
        <w:rPr>
          <w:rStyle w:val="downloaddetail1"/>
          <w:rFonts w:cs="Arial"/>
          <w:color w:val="auto"/>
          <w:sz w:val="24"/>
          <w:szCs w:val="24"/>
        </w:rPr>
        <w:t xml:space="preserve"> can be found on </w:t>
      </w:r>
      <w:r w:rsidR="0069531D" w:rsidRPr="0047042E">
        <w:rPr>
          <w:rStyle w:val="downloaddetail1"/>
          <w:rFonts w:cs="Arial"/>
          <w:color w:val="auto"/>
          <w:sz w:val="24"/>
          <w:szCs w:val="24"/>
        </w:rPr>
        <w:t>the East Sussex County Council website</w:t>
      </w:r>
      <w:r w:rsidR="0047042E">
        <w:rPr>
          <w:rStyle w:val="downloaddetail1"/>
          <w:rFonts w:cs="Arial"/>
          <w:color w:val="auto"/>
          <w:sz w:val="24"/>
          <w:szCs w:val="24"/>
        </w:rPr>
        <w:t xml:space="preserve"> and Webshop</w:t>
      </w:r>
      <w:r w:rsidR="0069531D" w:rsidRPr="0047042E">
        <w:rPr>
          <w:rStyle w:val="downloaddetail1"/>
          <w:rFonts w:cs="Arial"/>
          <w:color w:val="auto"/>
          <w:sz w:val="24"/>
          <w:szCs w:val="24"/>
        </w:rPr>
        <w:t>:</w:t>
      </w:r>
      <w:r w:rsidR="00830670">
        <w:rPr>
          <w:rStyle w:val="downloaddetail1"/>
          <w:rFonts w:cs="Arial"/>
          <w:color w:val="auto"/>
          <w:sz w:val="24"/>
          <w:szCs w:val="24"/>
        </w:rPr>
        <w:t xml:space="preserve"> </w:t>
      </w:r>
    </w:p>
    <w:p w14:paraId="5D9B87E4" w14:textId="77777777" w:rsidR="00744E82" w:rsidRPr="0047042E" w:rsidRDefault="00744E82" w:rsidP="00606949">
      <w:pPr>
        <w:keepNext/>
        <w:keepLines/>
        <w:numPr>
          <w:ilvl w:val="0"/>
          <w:numId w:val="20"/>
        </w:numPr>
        <w:spacing w:before="120"/>
        <w:ind w:left="346" w:hanging="346"/>
        <w:rPr>
          <w:rFonts w:cs="Arial"/>
          <w:b/>
          <w:bCs/>
        </w:rPr>
      </w:pPr>
      <w:r w:rsidRPr="0029565F">
        <w:rPr>
          <w:rFonts w:cs="Arial"/>
          <w:b/>
          <w:bCs/>
        </w:rPr>
        <w:t>Grading of Support Staff Posts</w:t>
      </w:r>
    </w:p>
    <w:p w14:paraId="32B917A6" w14:textId="7DD688F5" w:rsidR="0047042E" w:rsidRDefault="00744E82" w:rsidP="00606949">
      <w:pPr>
        <w:keepLines/>
        <w:numPr>
          <w:ilvl w:val="1"/>
          <w:numId w:val="20"/>
        </w:numPr>
        <w:tabs>
          <w:tab w:val="clear" w:pos="792"/>
          <w:tab w:val="num" w:pos="630"/>
        </w:tabs>
        <w:ind w:left="630" w:hanging="630"/>
        <w:rPr>
          <w:rFonts w:cs="Arial"/>
        </w:rPr>
      </w:pPr>
      <w:r w:rsidRPr="0047042E">
        <w:rPr>
          <w:rFonts w:cs="Arial"/>
        </w:rPr>
        <w:t xml:space="preserve">Governors will approve new posts and changes to job descriptions of school support </w:t>
      </w:r>
      <w:r w:rsidR="00C152E3" w:rsidRPr="0047042E">
        <w:rPr>
          <w:rFonts w:cs="Arial"/>
        </w:rPr>
        <w:t>staff,</w:t>
      </w:r>
      <w:r w:rsidRPr="0047042E">
        <w:rPr>
          <w:rFonts w:cs="Arial"/>
        </w:rPr>
        <w:t xml:space="preserve"> and these are graded by Personnel and Training using the agreed job evaluation scheme. This is operated in partnership with the trade unions in line with the Single Status local collective agreements. Schools are encouraged to use the standard job descriptions on </w:t>
      </w:r>
      <w:r w:rsidR="00D95111" w:rsidRPr="0047042E">
        <w:rPr>
          <w:rFonts w:cs="Arial"/>
        </w:rPr>
        <w:t xml:space="preserve">the resources section of </w:t>
      </w:r>
      <w:r w:rsidR="0047042E">
        <w:rPr>
          <w:rFonts w:cs="Arial"/>
        </w:rPr>
        <w:t>Webshop</w:t>
      </w:r>
      <w:r w:rsidRPr="0047042E">
        <w:rPr>
          <w:rFonts w:cs="Arial"/>
        </w:rPr>
        <w:t xml:space="preserve"> as they ensure consistency in job design and grading of posts in schools. These job descriptions include those for Teaching Assistants, Technicians and Site Management staff. Job descriptions and person specifications for new or unique posts must be sent to for evaluation using the agreed scheme by email to </w:t>
      </w:r>
      <w:hyperlink r:id="rId37" w:history="1">
        <w:r w:rsidRPr="0047042E">
          <w:rPr>
            <w:rStyle w:val="Hyperlink"/>
            <w:rFonts w:cs="Arial"/>
          </w:rPr>
          <w:t>job.evaluation@eastsussex.gov.uk</w:t>
        </w:r>
      </w:hyperlink>
      <w:r w:rsidR="0047042E">
        <w:rPr>
          <w:rFonts w:cs="Arial"/>
        </w:rPr>
        <w:t xml:space="preserve"> </w:t>
      </w:r>
    </w:p>
    <w:p w14:paraId="01CD06FD" w14:textId="0D4DCBCE" w:rsidR="0047042E" w:rsidRDefault="006F3060" w:rsidP="00606949">
      <w:pPr>
        <w:keepLines/>
        <w:numPr>
          <w:ilvl w:val="1"/>
          <w:numId w:val="20"/>
        </w:numPr>
        <w:tabs>
          <w:tab w:val="clear" w:pos="792"/>
          <w:tab w:val="num" w:pos="630"/>
        </w:tabs>
        <w:ind w:left="630" w:hanging="630"/>
        <w:rPr>
          <w:rFonts w:cs="Arial"/>
        </w:rPr>
      </w:pPr>
      <w:r w:rsidRPr="0047042E">
        <w:rPr>
          <w:rFonts w:cs="Arial"/>
        </w:rPr>
        <w:t xml:space="preserve">For further information please refer to </w:t>
      </w:r>
      <w:r w:rsidR="00830670">
        <w:rPr>
          <w:rFonts w:cs="Arial"/>
        </w:rPr>
        <w:t xml:space="preserve">the job evaluation pages on </w:t>
      </w:r>
      <w:r w:rsidR="0047042E">
        <w:rPr>
          <w:rFonts w:cs="Arial"/>
        </w:rPr>
        <w:t>Webshop</w:t>
      </w:r>
    </w:p>
    <w:p w14:paraId="3E154A98" w14:textId="77777777" w:rsidR="003501D6" w:rsidRPr="0047042E" w:rsidRDefault="00744E82" w:rsidP="00606949">
      <w:pPr>
        <w:keepLines/>
        <w:numPr>
          <w:ilvl w:val="1"/>
          <w:numId w:val="20"/>
        </w:numPr>
        <w:tabs>
          <w:tab w:val="clear" w:pos="792"/>
          <w:tab w:val="num" w:pos="630"/>
        </w:tabs>
        <w:ind w:left="630" w:hanging="630"/>
        <w:rPr>
          <w:rFonts w:cs="Arial"/>
        </w:rPr>
      </w:pPr>
      <w:r w:rsidRPr="0047042E">
        <w:rPr>
          <w:rFonts w:cs="Arial"/>
        </w:rPr>
        <w:t xml:space="preserve">Please note that the County Council </w:t>
      </w:r>
      <w:r w:rsidR="00D95111" w:rsidRPr="0047042E">
        <w:rPr>
          <w:rFonts w:cs="Arial"/>
        </w:rPr>
        <w:t xml:space="preserve">has been </w:t>
      </w:r>
      <w:r w:rsidRPr="0047042E">
        <w:rPr>
          <w:rFonts w:cs="Arial"/>
        </w:rPr>
        <w:t xml:space="preserve">working towards implementing single status on a phased basis. This </w:t>
      </w:r>
      <w:r w:rsidR="00D95111" w:rsidRPr="0047042E">
        <w:rPr>
          <w:rFonts w:cs="Arial"/>
        </w:rPr>
        <w:t xml:space="preserve">has </w:t>
      </w:r>
      <w:r w:rsidRPr="0047042E">
        <w:rPr>
          <w:rFonts w:cs="Arial"/>
        </w:rPr>
        <w:t>involve</w:t>
      </w:r>
      <w:r w:rsidR="00D95111" w:rsidRPr="0047042E">
        <w:rPr>
          <w:rFonts w:cs="Arial"/>
        </w:rPr>
        <w:t>d</w:t>
      </w:r>
      <w:r w:rsidRPr="0047042E">
        <w:rPr>
          <w:rFonts w:cs="Arial"/>
        </w:rPr>
        <w:t xml:space="preserve"> transferring posts from the 'old' NJC scales to single status by evaluating jobs in groups that are identified as undertaking similar roles. </w:t>
      </w:r>
      <w:r w:rsidR="00D95111" w:rsidRPr="0047042E">
        <w:rPr>
          <w:rFonts w:cs="Arial"/>
        </w:rPr>
        <w:t xml:space="preserve">This process is almost complete.  For further information please contact </w:t>
      </w:r>
      <w:r w:rsidR="0047042E">
        <w:rPr>
          <w:rFonts w:cs="Arial"/>
        </w:rPr>
        <w:t>the</w:t>
      </w:r>
      <w:r w:rsidR="00D95111" w:rsidRPr="0047042E">
        <w:rPr>
          <w:rFonts w:cs="Arial"/>
        </w:rPr>
        <w:t xml:space="preserve"> Job Evaluation </w:t>
      </w:r>
      <w:r w:rsidR="0047042E">
        <w:rPr>
          <w:rFonts w:cs="Arial"/>
        </w:rPr>
        <w:t xml:space="preserve">Team </w:t>
      </w:r>
      <w:hyperlink r:id="rId38" w:history="1">
        <w:r w:rsidR="0047042E" w:rsidRPr="0047042E">
          <w:rPr>
            <w:rStyle w:val="Hyperlink"/>
            <w:rFonts w:cs="Arial"/>
          </w:rPr>
          <w:t>job.evaluation@eastsussex.gov.uk</w:t>
        </w:r>
      </w:hyperlink>
    </w:p>
    <w:p w14:paraId="51DB6E01" w14:textId="77777777" w:rsidR="00744E82" w:rsidRPr="0047042E" w:rsidRDefault="00744E82" w:rsidP="00606949">
      <w:pPr>
        <w:keepNext/>
        <w:keepLines/>
        <w:numPr>
          <w:ilvl w:val="0"/>
          <w:numId w:val="20"/>
        </w:numPr>
        <w:spacing w:before="120"/>
        <w:ind w:left="346" w:hanging="346"/>
        <w:rPr>
          <w:rFonts w:cs="Arial"/>
          <w:b/>
          <w:bCs/>
        </w:rPr>
      </w:pPr>
      <w:r w:rsidRPr="0029565F">
        <w:rPr>
          <w:rFonts w:cs="Arial"/>
          <w:b/>
          <w:bCs/>
        </w:rPr>
        <w:t xml:space="preserve">Salary on Appointment </w:t>
      </w:r>
    </w:p>
    <w:p w14:paraId="6A17EC76" w14:textId="77777777" w:rsidR="00744E82" w:rsidRPr="0047042E" w:rsidRDefault="00744E82" w:rsidP="00606949">
      <w:pPr>
        <w:keepLines/>
        <w:numPr>
          <w:ilvl w:val="1"/>
          <w:numId w:val="20"/>
        </w:numPr>
        <w:tabs>
          <w:tab w:val="clear" w:pos="792"/>
          <w:tab w:val="num" w:pos="630"/>
        </w:tabs>
        <w:ind w:left="630" w:hanging="630"/>
        <w:rPr>
          <w:rFonts w:cs="Arial"/>
          <w:spacing w:val="-1"/>
        </w:rPr>
      </w:pPr>
      <w:r w:rsidRPr="0047042E">
        <w:rPr>
          <w:rFonts w:cs="Arial"/>
          <w:spacing w:val="-1"/>
        </w:rPr>
        <w:t>If a new employee was previously employed under the conditions of service of the NJC for Local Government Services immediately prior to appointment at the school, the starting pay should not be less than the previous salary, provided this is within the overall grade for the post. Otherwise, support staff will normally be placed on the first point of the grade for the post.</w:t>
      </w:r>
    </w:p>
    <w:p w14:paraId="32D74B60" w14:textId="09098E7B" w:rsidR="00744E82" w:rsidRPr="0047042E" w:rsidRDefault="00744E82" w:rsidP="00606949">
      <w:pPr>
        <w:keepLines/>
        <w:numPr>
          <w:ilvl w:val="1"/>
          <w:numId w:val="20"/>
        </w:numPr>
        <w:tabs>
          <w:tab w:val="clear" w:pos="792"/>
          <w:tab w:val="num" w:pos="630"/>
        </w:tabs>
        <w:ind w:left="630" w:hanging="630"/>
        <w:rPr>
          <w:rFonts w:cs="Arial"/>
          <w:spacing w:val="-1"/>
        </w:rPr>
      </w:pPr>
      <w:r w:rsidRPr="0047042E">
        <w:rPr>
          <w:rFonts w:cs="Arial"/>
          <w:spacing w:val="-1"/>
        </w:rPr>
        <w:t xml:space="preserve">Previous experience or qualification (including continuous employment within Local Government) can be </w:t>
      </w:r>
      <w:r w:rsidR="00D21385" w:rsidRPr="0047042E">
        <w:rPr>
          <w:rFonts w:cs="Arial"/>
          <w:spacing w:val="-1"/>
        </w:rPr>
        <w:t>counted and</w:t>
      </w:r>
      <w:r w:rsidRPr="0047042E">
        <w:rPr>
          <w:rFonts w:cs="Arial"/>
          <w:spacing w:val="-1"/>
        </w:rPr>
        <w:t xml:space="preserve"> may result in the employee being placed on a higher point.    </w:t>
      </w:r>
    </w:p>
    <w:p w14:paraId="087379EB" w14:textId="77777777" w:rsidR="00744E82" w:rsidRPr="0047042E" w:rsidRDefault="00744E82" w:rsidP="00606949">
      <w:pPr>
        <w:keepNext/>
        <w:keepLines/>
        <w:numPr>
          <w:ilvl w:val="0"/>
          <w:numId w:val="20"/>
        </w:numPr>
        <w:spacing w:before="120"/>
        <w:ind w:left="346" w:hanging="346"/>
        <w:rPr>
          <w:rFonts w:cs="Arial"/>
          <w:b/>
          <w:bCs/>
        </w:rPr>
      </w:pPr>
      <w:r w:rsidRPr="0029565F">
        <w:rPr>
          <w:rFonts w:cs="Arial"/>
          <w:b/>
          <w:bCs/>
        </w:rPr>
        <w:t xml:space="preserve">Incremental Progression </w:t>
      </w:r>
    </w:p>
    <w:p w14:paraId="5118F041" w14:textId="77777777" w:rsidR="00744E82" w:rsidRPr="0047042E" w:rsidRDefault="00744E82" w:rsidP="00606949">
      <w:pPr>
        <w:keepLines/>
        <w:numPr>
          <w:ilvl w:val="1"/>
          <w:numId w:val="20"/>
        </w:numPr>
        <w:tabs>
          <w:tab w:val="clear" w:pos="792"/>
          <w:tab w:val="num" w:pos="630"/>
        </w:tabs>
        <w:ind w:left="630" w:hanging="630"/>
        <w:rPr>
          <w:rFonts w:cs="Arial"/>
          <w:spacing w:val="-1"/>
        </w:rPr>
      </w:pPr>
      <w:r w:rsidRPr="0047042E">
        <w:rPr>
          <w:rFonts w:cs="Arial"/>
          <w:spacing w:val="-1"/>
        </w:rPr>
        <w:t xml:space="preserve">Subject to satisfactory performance, a member of support staff will move one point on their scale at 1st April each year. (NB: The first incremental date falls 6 months following appointment for staff appointed between 01 October and 31 March). Incremental progression will continue until the top of the scale is reached.  </w:t>
      </w:r>
    </w:p>
    <w:p w14:paraId="44C5DD2E" w14:textId="77777777" w:rsidR="00744E82" w:rsidRPr="0047042E" w:rsidRDefault="00744E82" w:rsidP="00606949">
      <w:pPr>
        <w:keepNext/>
        <w:keepLines/>
        <w:numPr>
          <w:ilvl w:val="0"/>
          <w:numId w:val="20"/>
        </w:numPr>
        <w:spacing w:before="120"/>
        <w:ind w:left="346" w:hanging="346"/>
        <w:rPr>
          <w:rFonts w:cs="Arial"/>
          <w:b/>
          <w:bCs/>
        </w:rPr>
      </w:pPr>
      <w:r w:rsidRPr="0029565F">
        <w:rPr>
          <w:rFonts w:cs="Arial"/>
          <w:b/>
          <w:bCs/>
        </w:rPr>
        <w:t>Withholding Incremental Progression</w:t>
      </w:r>
    </w:p>
    <w:p w14:paraId="75C3194E" w14:textId="77777777" w:rsidR="00744E82" w:rsidRPr="0047042E" w:rsidRDefault="00744E82" w:rsidP="00606949">
      <w:pPr>
        <w:keepLines/>
        <w:numPr>
          <w:ilvl w:val="1"/>
          <w:numId w:val="20"/>
        </w:numPr>
        <w:tabs>
          <w:tab w:val="clear" w:pos="792"/>
          <w:tab w:val="num" w:pos="630"/>
        </w:tabs>
        <w:ind w:left="630" w:hanging="630"/>
        <w:rPr>
          <w:rFonts w:cs="Arial"/>
          <w:spacing w:val="-1"/>
        </w:rPr>
      </w:pPr>
      <w:r w:rsidRPr="0047042E">
        <w:rPr>
          <w:rFonts w:cs="Arial"/>
          <w:spacing w:val="-1"/>
        </w:rPr>
        <w:t xml:space="preserve">An increment for a member of support staff may exceptionally be withheld where the employee is subject to formal competency procedures. The </w:t>
      </w:r>
      <w:r w:rsidR="00D01FC0" w:rsidRPr="0047042E">
        <w:rPr>
          <w:rFonts w:cs="Arial"/>
          <w:spacing w:val="-1"/>
        </w:rPr>
        <w:t>Governing board</w:t>
      </w:r>
      <w:r w:rsidRPr="0047042E">
        <w:rPr>
          <w:rFonts w:cs="Arial"/>
          <w:spacing w:val="-1"/>
        </w:rPr>
        <w:t xml:space="preserve"> may still opt to award the incremental point once the employee’s performance has returned to satisfactory.</w:t>
      </w:r>
    </w:p>
    <w:p w14:paraId="58AEBF3E" w14:textId="77777777" w:rsidR="00744E82" w:rsidRPr="0047042E" w:rsidRDefault="00744E82" w:rsidP="00606949">
      <w:pPr>
        <w:keepNext/>
        <w:keepLines/>
        <w:numPr>
          <w:ilvl w:val="0"/>
          <w:numId w:val="20"/>
        </w:numPr>
        <w:spacing w:before="120"/>
        <w:ind w:left="346" w:hanging="346"/>
        <w:rPr>
          <w:rFonts w:cs="Arial"/>
          <w:b/>
          <w:bCs/>
        </w:rPr>
      </w:pPr>
      <w:r w:rsidRPr="0047042E">
        <w:rPr>
          <w:rFonts w:cs="Arial"/>
          <w:b/>
          <w:bCs/>
        </w:rPr>
        <w:t> </w:t>
      </w:r>
      <w:r w:rsidRPr="0029565F">
        <w:rPr>
          <w:rFonts w:cs="Arial"/>
          <w:b/>
          <w:bCs/>
        </w:rPr>
        <w:t xml:space="preserve">Pay recognition policies </w:t>
      </w:r>
      <w:r w:rsidRPr="0029565F">
        <w:rPr>
          <w:rFonts w:cs="Arial"/>
          <w:b/>
          <w:bCs/>
        </w:rPr>
        <w:tab/>
      </w:r>
    </w:p>
    <w:p w14:paraId="42EB9BBE" w14:textId="77777777" w:rsidR="00744E82" w:rsidRPr="0047042E" w:rsidRDefault="00744E82" w:rsidP="00606949">
      <w:pPr>
        <w:keepLines/>
        <w:numPr>
          <w:ilvl w:val="1"/>
          <w:numId w:val="20"/>
        </w:numPr>
        <w:tabs>
          <w:tab w:val="clear" w:pos="792"/>
          <w:tab w:val="num" w:pos="630"/>
        </w:tabs>
        <w:ind w:left="630" w:hanging="630"/>
        <w:rPr>
          <w:rFonts w:cs="Arial"/>
          <w:spacing w:val="-1"/>
        </w:rPr>
      </w:pPr>
      <w:r w:rsidRPr="0047042E">
        <w:rPr>
          <w:rFonts w:cs="Arial"/>
          <w:spacing w:val="-1"/>
        </w:rPr>
        <w:t>Managers can reward staff with additional pay for outstanding performance or contributions over and above their normal duties. To do this you can use one of the schemes below, depending on individual circumstances.</w:t>
      </w:r>
      <w:r w:rsidRPr="0047042E">
        <w:rPr>
          <w:rFonts w:cs="Arial"/>
          <w:spacing w:val="-1"/>
        </w:rPr>
        <w:tab/>
      </w:r>
    </w:p>
    <w:p w14:paraId="63C2A947" w14:textId="77777777" w:rsidR="00744E82" w:rsidRPr="0047042E" w:rsidRDefault="00744E82" w:rsidP="00606949">
      <w:pPr>
        <w:keepLines/>
        <w:numPr>
          <w:ilvl w:val="1"/>
          <w:numId w:val="20"/>
        </w:numPr>
        <w:tabs>
          <w:tab w:val="clear" w:pos="792"/>
          <w:tab w:val="num" w:pos="630"/>
        </w:tabs>
        <w:ind w:left="630" w:hanging="630"/>
        <w:rPr>
          <w:rFonts w:cs="Arial"/>
          <w:spacing w:val="-1"/>
        </w:rPr>
      </w:pPr>
      <w:r w:rsidRPr="0047042E">
        <w:rPr>
          <w:rFonts w:cs="Arial"/>
          <w:spacing w:val="-1"/>
        </w:rPr>
        <w:t xml:space="preserve">Requests for pay recognition rewards must be authorised by </w:t>
      </w:r>
      <w:r w:rsidRPr="006707EE">
        <w:rPr>
          <w:rFonts w:cs="Arial"/>
          <w:spacing w:val="-1"/>
        </w:rPr>
        <w:t>an Assistant Director in</w:t>
      </w:r>
      <w:r w:rsidRPr="0047042E">
        <w:rPr>
          <w:rFonts w:cs="Arial"/>
          <w:spacing w:val="-1"/>
        </w:rPr>
        <w:t xml:space="preserve"> accordance with the Scheme of Delegations.</w:t>
      </w:r>
    </w:p>
    <w:p w14:paraId="3DE50027" w14:textId="77777777" w:rsidR="00744E82" w:rsidRPr="0047042E" w:rsidRDefault="00744E82" w:rsidP="00606949">
      <w:pPr>
        <w:keepNext/>
        <w:keepLines/>
        <w:numPr>
          <w:ilvl w:val="0"/>
          <w:numId w:val="20"/>
        </w:numPr>
        <w:spacing w:before="120"/>
        <w:ind w:left="346" w:hanging="346"/>
        <w:rPr>
          <w:rFonts w:cs="Arial"/>
          <w:b/>
          <w:bCs/>
        </w:rPr>
      </w:pPr>
      <w:r w:rsidRPr="0029565F">
        <w:rPr>
          <w:rFonts w:cs="Arial"/>
          <w:b/>
          <w:bCs/>
        </w:rPr>
        <w:t>Temporary additional responsibility - acting up</w:t>
      </w:r>
    </w:p>
    <w:p w14:paraId="1543BF92" w14:textId="77777777" w:rsidR="00744E82" w:rsidRPr="0047042E" w:rsidRDefault="00744E82" w:rsidP="00606949">
      <w:pPr>
        <w:keepLines/>
        <w:numPr>
          <w:ilvl w:val="1"/>
          <w:numId w:val="20"/>
        </w:numPr>
        <w:tabs>
          <w:tab w:val="clear" w:pos="792"/>
          <w:tab w:val="num" w:pos="630"/>
        </w:tabs>
        <w:ind w:left="630" w:hanging="630"/>
        <w:rPr>
          <w:rFonts w:cs="Arial"/>
          <w:spacing w:val="-1"/>
        </w:rPr>
      </w:pPr>
      <w:r w:rsidRPr="0047042E">
        <w:rPr>
          <w:rFonts w:cs="Arial"/>
          <w:spacing w:val="-1"/>
        </w:rPr>
        <w:t xml:space="preserve">Reward for staff who are asked to take on the duties and responsibilities of a higher graded post - in whole or part - temporarily, for a continuous period of at least four weeks. See the </w:t>
      </w:r>
      <w:r w:rsidR="006707EE">
        <w:rPr>
          <w:color w:val="0000FF"/>
          <w:spacing w:val="-1"/>
        </w:rPr>
        <w:t>Pay Re</w:t>
      </w:r>
      <w:r w:rsidR="006707EE" w:rsidRPr="0047042E">
        <w:rPr>
          <w:color w:val="0000FF"/>
          <w:spacing w:val="-1"/>
        </w:rPr>
        <w:t>cognition</w:t>
      </w:r>
      <w:r w:rsidR="006707EE">
        <w:rPr>
          <w:color w:val="0000FF"/>
          <w:spacing w:val="-1"/>
        </w:rPr>
        <w:t xml:space="preserve"> Policy Suite</w:t>
      </w:r>
      <w:r w:rsidRPr="0047042E">
        <w:rPr>
          <w:rFonts w:cs="Arial"/>
          <w:spacing w:val="-1"/>
        </w:rPr>
        <w:t>.</w:t>
      </w:r>
    </w:p>
    <w:p w14:paraId="631910FD" w14:textId="77777777" w:rsidR="00744E82" w:rsidRPr="0029565F" w:rsidRDefault="00744E82" w:rsidP="00606949">
      <w:pPr>
        <w:keepLines/>
        <w:numPr>
          <w:ilvl w:val="0"/>
          <w:numId w:val="20"/>
        </w:numPr>
        <w:rPr>
          <w:rFonts w:cs="Arial"/>
          <w:b/>
        </w:rPr>
      </w:pPr>
      <w:r w:rsidRPr="0029565F">
        <w:rPr>
          <w:rFonts w:cs="Arial"/>
          <w:b/>
          <w:bCs/>
        </w:rPr>
        <w:t>Temporary additional duties - honorarium scheme</w:t>
      </w:r>
      <w:r w:rsidR="00BC1C34" w:rsidRPr="0029565F">
        <w:rPr>
          <w:rFonts w:cs="Arial"/>
          <w:b/>
          <w:bCs/>
        </w:rPr>
        <w:t xml:space="preserve"> </w:t>
      </w:r>
      <w:r w:rsidR="00707ECD" w:rsidRPr="0029565F">
        <w:rPr>
          <w:rFonts w:cs="Arial"/>
          <w:i/>
        </w:rPr>
        <w:t>an</w:t>
      </w:r>
      <w:r w:rsidR="00BC1C34" w:rsidRPr="0029565F">
        <w:rPr>
          <w:rFonts w:cs="Arial"/>
          <w:i/>
        </w:rPr>
        <w:t xml:space="preserve"> honorarium is a percentage payment for a particular period of time e.g. 2.5% over a 6 month period.</w:t>
      </w:r>
    </w:p>
    <w:p w14:paraId="53ADA8A7" w14:textId="77777777" w:rsidR="00744E82" w:rsidRPr="0047042E" w:rsidRDefault="00744E82" w:rsidP="00606949">
      <w:pPr>
        <w:keepLines/>
        <w:numPr>
          <w:ilvl w:val="1"/>
          <w:numId w:val="20"/>
        </w:numPr>
        <w:tabs>
          <w:tab w:val="clear" w:pos="792"/>
          <w:tab w:val="num" w:pos="630"/>
        </w:tabs>
        <w:ind w:left="630" w:hanging="630"/>
        <w:rPr>
          <w:rFonts w:cs="Arial"/>
          <w:spacing w:val="-1"/>
        </w:rPr>
      </w:pPr>
      <w:r w:rsidRPr="0047042E">
        <w:rPr>
          <w:rFonts w:cs="Arial"/>
          <w:spacing w:val="-1"/>
        </w:rPr>
        <w:t xml:space="preserve">Reward for staff who are asked to take on substantial new duties and responsibilities for a temporary period, exceeding normal expectations of the post, where no other form of payment has been made. See the </w:t>
      </w:r>
      <w:r w:rsidR="006707EE">
        <w:rPr>
          <w:color w:val="0000FF"/>
          <w:spacing w:val="-1"/>
        </w:rPr>
        <w:t>Pay Re</w:t>
      </w:r>
      <w:r w:rsidRPr="0047042E">
        <w:rPr>
          <w:color w:val="0000FF"/>
          <w:spacing w:val="-1"/>
        </w:rPr>
        <w:t>cognition</w:t>
      </w:r>
      <w:r w:rsidR="006707EE">
        <w:rPr>
          <w:color w:val="0000FF"/>
          <w:spacing w:val="-1"/>
        </w:rPr>
        <w:t xml:space="preserve"> Policy Suite</w:t>
      </w:r>
      <w:r w:rsidRPr="0047042E">
        <w:rPr>
          <w:rFonts w:cs="Arial"/>
          <w:spacing w:val="-1"/>
        </w:rPr>
        <w:t>.</w:t>
      </w:r>
    </w:p>
    <w:p w14:paraId="482BFA57" w14:textId="77777777" w:rsidR="00744E82" w:rsidRPr="0029565F" w:rsidRDefault="00744E82" w:rsidP="00606949">
      <w:pPr>
        <w:keepNext/>
        <w:keepLines/>
        <w:numPr>
          <w:ilvl w:val="0"/>
          <w:numId w:val="20"/>
        </w:numPr>
        <w:rPr>
          <w:rFonts w:cs="Arial"/>
          <w:b/>
          <w:bCs/>
        </w:rPr>
      </w:pPr>
      <w:r w:rsidRPr="0029565F">
        <w:rPr>
          <w:rFonts w:cs="Arial"/>
          <w:b/>
          <w:bCs/>
        </w:rPr>
        <w:t>Special merit scheme</w:t>
      </w:r>
      <w:r w:rsidR="00BC1C34" w:rsidRPr="0029565F">
        <w:rPr>
          <w:rFonts w:cs="Arial"/>
          <w:b/>
          <w:bCs/>
        </w:rPr>
        <w:t xml:space="preserve"> </w:t>
      </w:r>
      <w:r w:rsidR="00BC1C34" w:rsidRPr="0029565F">
        <w:rPr>
          <w:rFonts w:cs="Arial"/>
          <w:bCs/>
          <w:i/>
        </w:rPr>
        <w:t>(A merit payment is a single set payment up to £1,000.)</w:t>
      </w:r>
    </w:p>
    <w:p w14:paraId="5A2FB61E" w14:textId="77777777" w:rsidR="00744E82" w:rsidRPr="0047042E" w:rsidRDefault="00744E82" w:rsidP="00606949">
      <w:pPr>
        <w:keepLines/>
        <w:numPr>
          <w:ilvl w:val="1"/>
          <w:numId w:val="20"/>
        </w:numPr>
        <w:tabs>
          <w:tab w:val="clear" w:pos="792"/>
          <w:tab w:val="num" w:pos="630"/>
        </w:tabs>
        <w:ind w:left="630" w:hanging="630"/>
        <w:rPr>
          <w:rFonts w:cs="Arial"/>
          <w:spacing w:val="-1"/>
        </w:rPr>
      </w:pPr>
      <w:r w:rsidRPr="0047042E">
        <w:rPr>
          <w:rFonts w:cs="Arial"/>
          <w:spacing w:val="-1"/>
        </w:rPr>
        <w:t xml:space="preserve">Reward for contributions to one-off projects, beyond that normally expected in the course of duties, or for absorbing a substantially increased workload, where other forms of payment have not been made. See the </w:t>
      </w:r>
      <w:r w:rsidR="006707EE">
        <w:rPr>
          <w:color w:val="0000FF"/>
          <w:spacing w:val="-1"/>
        </w:rPr>
        <w:t>Pay Re</w:t>
      </w:r>
      <w:r w:rsidR="006707EE" w:rsidRPr="0047042E">
        <w:rPr>
          <w:color w:val="0000FF"/>
          <w:spacing w:val="-1"/>
        </w:rPr>
        <w:t>cognition</w:t>
      </w:r>
      <w:r w:rsidR="006707EE">
        <w:rPr>
          <w:color w:val="0000FF"/>
          <w:spacing w:val="-1"/>
        </w:rPr>
        <w:t xml:space="preserve"> Policy Suite</w:t>
      </w:r>
      <w:r w:rsidRPr="0047042E">
        <w:rPr>
          <w:rFonts w:cs="Arial"/>
          <w:spacing w:val="-1"/>
        </w:rPr>
        <w:t>.</w:t>
      </w:r>
    </w:p>
    <w:p w14:paraId="736A86EB" w14:textId="77777777" w:rsidR="00744E82" w:rsidRPr="0047042E" w:rsidRDefault="00744E82" w:rsidP="00606949">
      <w:pPr>
        <w:keepNext/>
        <w:keepLines/>
        <w:numPr>
          <w:ilvl w:val="0"/>
          <w:numId w:val="20"/>
        </w:numPr>
        <w:rPr>
          <w:rFonts w:cs="Arial"/>
          <w:b/>
          <w:bCs/>
        </w:rPr>
      </w:pPr>
      <w:r w:rsidRPr="0029565F">
        <w:rPr>
          <w:rFonts w:cs="Arial"/>
          <w:b/>
          <w:bCs/>
        </w:rPr>
        <w:t xml:space="preserve">  Accelerated increments</w:t>
      </w:r>
    </w:p>
    <w:p w14:paraId="58C6E665" w14:textId="77777777" w:rsidR="00744E82" w:rsidRPr="0029565F" w:rsidRDefault="00744E82" w:rsidP="00606949">
      <w:pPr>
        <w:keepNext/>
        <w:keepLines/>
        <w:numPr>
          <w:ilvl w:val="1"/>
          <w:numId w:val="20"/>
        </w:numPr>
        <w:tabs>
          <w:tab w:val="clear" w:pos="792"/>
          <w:tab w:val="num" w:pos="630"/>
        </w:tabs>
        <w:ind w:left="630" w:hanging="630"/>
        <w:rPr>
          <w:rFonts w:cs="Arial"/>
        </w:rPr>
      </w:pPr>
      <w:r w:rsidRPr="0029565F">
        <w:rPr>
          <w:rFonts w:cs="Arial"/>
        </w:rPr>
        <w:t>There is also an option to reward staff by granting up to two additional increments within a salary scale. You cannot exceed the maximum of the salary scale and the employee's performance must meet one or more of the following criteria:</w:t>
      </w:r>
    </w:p>
    <w:p w14:paraId="6181A8CD" w14:textId="77777777" w:rsidR="00744E82" w:rsidRPr="0029565F" w:rsidRDefault="00744E82" w:rsidP="00606949">
      <w:pPr>
        <w:keepNext/>
        <w:keepLines/>
        <w:numPr>
          <w:ilvl w:val="0"/>
          <w:numId w:val="15"/>
        </w:numPr>
        <w:tabs>
          <w:tab w:val="clear" w:pos="720"/>
          <w:tab w:val="num" w:pos="993"/>
        </w:tabs>
        <w:spacing w:after="0"/>
        <w:ind w:left="993" w:hanging="363"/>
        <w:rPr>
          <w:rFonts w:cs="Arial"/>
        </w:rPr>
      </w:pPr>
      <w:r w:rsidRPr="0029565F">
        <w:rPr>
          <w:rFonts w:cs="Arial"/>
        </w:rPr>
        <w:t>Consistent performance for at least six months of high quality work over and above that normally expected of the post holder.</w:t>
      </w:r>
    </w:p>
    <w:p w14:paraId="4635A0D5" w14:textId="77777777" w:rsidR="00744E82" w:rsidRPr="0029565F" w:rsidRDefault="00744E82" w:rsidP="00606949">
      <w:pPr>
        <w:keepNext/>
        <w:keepLines/>
        <w:numPr>
          <w:ilvl w:val="0"/>
          <w:numId w:val="15"/>
        </w:numPr>
        <w:tabs>
          <w:tab w:val="clear" w:pos="720"/>
          <w:tab w:val="num" w:pos="993"/>
        </w:tabs>
        <w:spacing w:after="0"/>
        <w:ind w:left="993" w:hanging="363"/>
        <w:rPr>
          <w:rFonts w:cs="Arial"/>
        </w:rPr>
      </w:pPr>
      <w:r w:rsidRPr="0029565F">
        <w:rPr>
          <w:rFonts w:cs="Arial"/>
        </w:rPr>
        <w:t>Consistent performance of work of the same quality over and above that normally expected of the post holder.</w:t>
      </w:r>
    </w:p>
    <w:p w14:paraId="1267D57C" w14:textId="77777777" w:rsidR="00744E82" w:rsidRPr="0029565F" w:rsidRDefault="00744E82" w:rsidP="00606949">
      <w:pPr>
        <w:keepNext/>
        <w:keepLines/>
        <w:numPr>
          <w:ilvl w:val="0"/>
          <w:numId w:val="15"/>
        </w:numPr>
        <w:tabs>
          <w:tab w:val="clear" w:pos="720"/>
          <w:tab w:val="num" w:pos="993"/>
        </w:tabs>
        <w:spacing w:after="0"/>
        <w:ind w:left="993" w:hanging="363"/>
      </w:pPr>
      <w:r w:rsidRPr="0029565F">
        <w:t xml:space="preserve">Performance of work to such a high standard that little supervision is required in circumstances where there is usually a strong supervisory element. </w:t>
      </w:r>
    </w:p>
    <w:p w14:paraId="3475C22D" w14:textId="77777777" w:rsidR="00744E82" w:rsidRPr="0029565F" w:rsidRDefault="00744E82" w:rsidP="00606949">
      <w:pPr>
        <w:keepLines/>
        <w:numPr>
          <w:ilvl w:val="0"/>
          <w:numId w:val="15"/>
        </w:numPr>
        <w:tabs>
          <w:tab w:val="clear" w:pos="720"/>
          <w:tab w:val="num" w:pos="993"/>
        </w:tabs>
        <w:spacing w:after="0"/>
        <w:ind w:left="993" w:hanging="363"/>
      </w:pPr>
      <w:r w:rsidRPr="0029565F">
        <w:t xml:space="preserve">A permanent, measurable increase in responsibility which is insufficient to warrant regrading. </w:t>
      </w:r>
    </w:p>
    <w:p w14:paraId="24A700CE" w14:textId="28BA5C61" w:rsidR="00744E82" w:rsidRPr="0029565F" w:rsidRDefault="00744E82" w:rsidP="00484FC1">
      <w:pPr>
        <w:pStyle w:val="Heading2"/>
        <w:keepLines/>
        <w:rPr>
          <w:b w:val="0"/>
          <w:bCs w:val="0"/>
          <w:iCs w:val="0"/>
        </w:rPr>
      </w:pPr>
      <w:bookmarkStart w:id="117" w:name="_Appendix_C_-"/>
      <w:bookmarkEnd w:id="117"/>
      <w:r w:rsidRPr="0029565F">
        <w:br w:type="page"/>
      </w:r>
      <w:bookmarkStart w:id="118" w:name="_Toc54700391"/>
      <w:r w:rsidR="00BC1C34" w:rsidRPr="0029565F">
        <w:t xml:space="preserve">Appendix C – </w:t>
      </w:r>
      <w:r w:rsidRPr="0029565F">
        <w:t>Terms of Reference for School Pay Committee</w:t>
      </w:r>
      <w:bookmarkEnd w:id="118"/>
    </w:p>
    <w:p w14:paraId="35D6AB1D" w14:textId="350D9A04" w:rsidR="00744E82" w:rsidRPr="0029565F" w:rsidRDefault="00744E82" w:rsidP="009F160F">
      <w:pPr>
        <w:spacing w:before="60" w:after="60"/>
        <w:rPr>
          <w:rFonts w:cs="Arial"/>
        </w:rPr>
      </w:pPr>
      <w:r w:rsidRPr="0029565F">
        <w:rPr>
          <w:rFonts w:cs="Arial"/>
        </w:rPr>
        <w:t>The</w:t>
      </w:r>
      <w:r w:rsidR="00BA602B">
        <w:rPr>
          <w:rFonts w:cs="Arial"/>
        </w:rPr>
        <w:t xml:space="preserve"> Skylark Federation Pay</w:t>
      </w:r>
      <w:r w:rsidRPr="0029565F">
        <w:rPr>
          <w:rFonts w:cs="Arial"/>
        </w:rPr>
        <w:t xml:space="preserve"> committee of the </w:t>
      </w:r>
      <w:r w:rsidR="00D01FC0">
        <w:rPr>
          <w:rFonts w:cs="Arial"/>
        </w:rPr>
        <w:t>Governing board</w:t>
      </w:r>
      <w:r w:rsidRPr="0029565F">
        <w:rPr>
          <w:rFonts w:cs="Arial"/>
        </w:rPr>
        <w:t xml:space="preserve"> is authorised to recommend / or has delegated power to decide all pay matters, as set out in </w:t>
      </w:r>
      <w:r w:rsidR="00C709D4" w:rsidRPr="0029565F">
        <w:rPr>
          <w:rFonts w:cs="Arial"/>
        </w:rPr>
        <w:t>the</w:t>
      </w:r>
      <w:r w:rsidR="00BA602B">
        <w:rPr>
          <w:rFonts w:cs="Arial"/>
        </w:rPr>
        <w:t xml:space="preserve"> Pay</w:t>
      </w:r>
      <w:r w:rsidRPr="0029565F">
        <w:rPr>
          <w:rFonts w:cs="Arial"/>
        </w:rPr>
        <w:t xml:space="preserve"> Committee Terms of Reference agreed by the </w:t>
      </w:r>
      <w:r w:rsidR="00D01FC0">
        <w:rPr>
          <w:rFonts w:cs="Arial"/>
        </w:rPr>
        <w:t>Governing board</w:t>
      </w:r>
      <w:r w:rsidRPr="0029565F">
        <w:rPr>
          <w:rFonts w:cs="Arial"/>
        </w:rPr>
        <w:t xml:space="preserve">.  </w:t>
      </w:r>
    </w:p>
    <w:p w14:paraId="076F4DEE" w14:textId="1D4AC5AC" w:rsidR="00744E82" w:rsidRPr="0029565F" w:rsidRDefault="00744E82" w:rsidP="009F160F">
      <w:pPr>
        <w:spacing w:before="60" w:after="60"/>
        <w:rPr>
          <w:rFonts w:cs="Arial"/>
        </w:rPr>
      </w:pPr>
      <w:r w:rsidRPr="0029565F">
        <w:rPr>
          <w:rFonts w:cs="Arial"/>
        </w:rPr>
        <w:t xml:space="preserve">No decisions will be notified to staff until the full </w:t>
      </w:r>
      <w:r w:rsidR="00D01FC0">
        <w:rPr>
          <w:rFonts w:cs="Arial"/>
        </w:rPr>
        <w:t>Governing board</w:t>
      </w:r>
      <w:r w:rsidRPr="0029565F">
        <w:rPr>
          <w:rFonts w:cs="Arial"/>
        </w:rPr>
        <w:t xml:space="preserve"> has agreed</w:t>
      </w:r>
      <w:r w:rsidR="00BA602B">
        <w:rPr>
          <w:rFonts w:cs="Arial"/>
        </w:rPr>
        <w:t>.</w:t>
      </w:r>
      <w:r w:rsidRPr="0029565F">
        <w:rPr>
          <w:rFonts w:cs="Arial"/>
        </w:rPr>
        <w:t xml:space="preserve"> </w:t>
      </w:r>
    </w:p>
    <w:p w14:paraId="540D677F" w14:textId="40A8891D" w:rsidR="00744E82" w:rsidRPr="0029565F" w:rsidRDefault="00744E82" w:rsidP="009F160F">
      <w:pPr>
        <w:spacing w:before="60" w:after="60"/>
        <w:rPr>
          <w:rFonts w:cs="Arial"/>
        </w:rPr>
      </w:pPr>
      <w:r w:rsidRPr="0029565F">
        <w:rPr>
          <w:rFonts w:cs="Arial"/>
        </w:rPr>
        <w:t>If the</w:t>
      </w:r>
      <w:r w:rsidR="00BA602B">
        <w:rPr>
          <w:rFonts w:cs="Arial"/>
        </w:rPr>
        <w:t xml:space="preserve"> Pay</w:t>
      </w:r>
      <w:r w:rsidRPr="0029565F">
        <w:rPr>
          <w:rFonts w:cs="Arial"/>
        </w:rPr>
        <w:t xml:space="preserve"> Committee recommends the full </w:t>
      </w:r>
      <w:r w:rsidR="00D01FC0">
        <w:rPr>
          <w:rFonts w:cs="Arial"/>
        </w:rPr>
        <w:t>Governing board</w:t>
      </w:r>
      <w:r w:rsidRPr="0029565F">
        <w:rPr>
          <w:rFonts w:cs="Arial"/>
        </w:rPr>
        <w:t xml:space="preserve"> will need to agree</w:t>
      </w:r>
      <w:r w:rsidR="00E32C3D" w:rsidRPr="0029565F">
        <w:rPr>
          <w:rFonts w:cs="Arial"/>
        </w:rPr>
        <w:t>.</w:t>
      </w:r>
      <w:r w:rsidR="009F160F">
        <w:rPr>
          <w:rFonts w:cs="Arial"/>
        </w:rPr>
        <w:t xml:space="preserve"> </w:t>
      </w:r>
    </w:p>
    <w:p w14:paraId="21484A48" w14:textId="77777777" w:rsidR="00E32C3D" w:rsidRPr="0029565F" w:rsidRDefault="00744E82" w:rsidP="00606949">
      <w:pPr>
        <w:keepNext/>
        <w:keepLines/>
        <w:numPr>
          <w:ilvl w:val="0"/>
          <w:numId w:val="21"/>
        </w:numPr>
        <w:spacing w:before="20" w:after="20"/>
        <w:rPr>
          <w:rFonts w:cs="Arial"/>
          <w:b/>
          <w:bCs/>
        </w:rPr>
      </w:pPr>
      <w:r w:rsidRPr="0029565F">
        <w:rPr>
          <w:rFonts w:cs="Arial"/>
          <w:b/>
          <w:bCs/>
        </w:rPr>
        <w:t>Membership</w:t>
      </w:r>
    </w:p>
    <w:p w14:paraId="6D566925" w14:textId="1900940D" w:rsidR="00E32C3D" w:rsidRPr="0029565F" w:rsidRDefault="00BA602B" w:rsidP="00606949">
      <w:pPr>
        <w:keepLines/>
        <w:numPr>
          <w:ilvl w:val="1"/>
          <w:numId w:val="21"/>
        </w:numPr>
        <w:spacing w:before="20" w:after="20"/>
        <w:ind w:hanging="542"/>
        <w:rPr>
          <w:rFonts w:cs="Arial"/>
          <w:bCs/>
        </w:rPr>
      </w:pPr>
      <w:r>
        <w:rPr>
          <w:rFonts w:cs="Arial"/>
          <w:bCs/>
        </w:rPr>
        <w:t>The Pay Committee</w:t>
      </w:r>
      <w:r w:rsidR="00744E82" w:rsidRPr="0029565F">
        <w:rPr>
          <w:rFonts w:cs="Arial"/>
          <w:bCs/>
        </w:rPr>
        <w:t xml:space="preserve"> will be elected by the </w:t>
      </w:r>
      <w:r w:rsidR="00D01FC0">
        <w:rPr>
          <w:rFonts w:cs="Arial"/>
          <w:bCs/>
        </w:rPr>
        <w:t>Governing board</w:t>
      </w:r>
      <w:r w:rsidR="00744E82" w:rsidRPr="0029565F">
        <w:rPr>
          <w:rFonts w:cs="Arial"/>
          <w:bCs/>
        </w:rPr>
        <w:t>.</w:t>
      </w:r>
    </w:p>
    <w:p w14:paraId="270CAB1A" w14:textId="075513A3" w:rsidR="00E32C3D" w:rsidRPr="0029565F" w:rsidRDefault="00744E82" w:rsidP="00606949">
      <w:pPr>
        <w:keepLines/>
        <w:numPr>
          <w:ilvl w:val="1"/>
          <w:numId w:val="21"/>
        </w:numPr>
        <w:spacing w:before="20" w:after="20"/>
        <w:ind w:hanging="542"/>
        <w:rPr>
          <w:rFonts w:cs="Arial"/>
          <w:bCs/>
        </w:rPr>
      </w:pPr>
      <w:r w:rsidRPr="0029565F">
        <w:rPr>
          <w:rFonts w:cs="Arial"/>
        </w:rPr>
        <w:t>Where the</w:t>
      </w:r>
      <w:r w:rsidR="00BA602B">
        <w:rPr>
          <w:rFonts w:cs="Arial"/>
        </w:rPr>
        <w:t xml:space="preserve"> Executive </w:t>
      </w:r>
      <w:r w:rsidRPr="0029565F">
        <w:rPr>
          <w:rFonts w:cs="Arial"/>
        </w:rPr>
        <w:t xml:space="preserve">Headteacher is not a member of the </w:t>
      </w:r>
      <w:r w:rsidR="00BA602B">
        <w:rPr>
          <w:rFonts w:cs="Arial"/>
        </w:rPr>
        <w:t>Pay</w:t>
      </w:r>
      <w:r w:rsidRPr="0029565F">
        <w:rPr>
          <w:rFonts w:cs="Arial"/>
        </w:rPr>
        <w:t xml:space="preserve"> committee, they will be entitled to attend all meetings in an advisory capacity.</w:t>
      </w:r>
    </w:p>
    <w:p w14:paraId="2C0CC543" w14:textId="6D8A5C5A" w:rsidR="00744E82" w:rsidRPr="0029565F" w:rsidRDefault="00744E82" w:rsidP="00606949">
      <w:pPr>
        <w:keepNext/>
        <w:keepLines/>
        <w:numPr>
          <w:ilvl w:val="1"/>
          <w:numId w:val="21"/>
        </w:numPr>
        <w:spacing w:before="20" w:after="20"/>
        <w:ind w:hanging="542"/>
        <w:rPr>
          <w:rFonts w:cs="Arial"/>
          <w:bCs/>
        </w:rPr>
      </w:pPr>
      <w:r w:rsidRPr="0029565F">
        <w:rPr>
          <w:rFonts w:cs="Arial"/>
        </w:rPr>
        <w:t xml:space="preserve">The </w:t>
      </w:r>
      <w:r w:rsidR="00BA602B">
        <w:rPr>
          <w:rFonts w:cs="Arial"/>
        </w:rPr>
        <w:t xml:space="preserve">Executive </w:t>
      </w:r>
      <w:r w:rsidRPr="0029565F">
        <w:rPr>
          <w:rFonts w:cs="Arial"/>
        </w:rPr>
        <w:t>Headteacher will leave the meeting when their own pay is being discussed.</w:t>
      </w:r>
    </w:p>
    <w:p w14:paraId="00F85364" w14:textId="77777777" w:rsidR="00E32C3D" w:rsidRPr="0029565F" w:rsidRDefault="00744E82" w:rsidP="00606949">
      <w:pPr>
        <w:keepNext/>
        <w:numPr>
          <w:ilvl w:val="0"/>
          <w:numId w:val="21"/>
        </w:numPr>
        <w:tabs>
          <w:tab w:val="clear" w:pos="360"/>
          <w:tab w:val="num" w:pos="426"/>
        </w:tabs>
        <w:spacing w:before="20" w:after="20"/>
        <w:ind w:left="0" w:firstLine="0"/>
        <w:rPr>
          <w:rFonts w:cs="Arial"/>
          <w:b/>
        </w:rPr>
      </w:pPr>
      <w:r w:rsidRPr="0029565F">
        <w:rPr>
          <w:rFonts w:cs="Arial"/>
          <w:b/>
        </w:rPr>
        <w:t>Terms of reference</w:t>
      </w:r>
    </w:p>
    <w:p w14:paraId="51A3D1B5" w14:textId="77777777" w:rsidR="00744E82" w:rsidRPr="0029565F" w:rsidRDefault="00744E82" w:rsidP="00606949">
      <w:pPr>
        <w:numPr>
          <w:ilvl w:val="1"/>
          <w:numId w:val="21"/>
        </w:numPr>
        <w:spacing w:before="20" w:after="20"/>
        <w:ind w:hanging="542"/>
        <w:rPr>
          <w:rFonts w:cs="Arial"/>
          <w:b/>
        </w:rPr>
      </w:pPr>
      <w:r w:rsidRPr="0029565F">
        <w:rPr>
          <w:rFonts w:cs="Arial"/>
        </w:rPr>
        <w:t xml:space="preserve">The committee will have full powers to make recommendations/decisions within the pay policy adopted by the </w:t>
      </w:r>
      <w:r w:rsidR="00D01FC0">
        <w:rPr>
          <w:rFonts w:cs="Arial"/>
        </w:rPr>
        <w:t>Governing board</w:t>
      </w:r>
      <w:r w:rsidRPr="0029565F">
        <w:rPr>
          <w:rFonts w:cs="Arial"/>
        </w:rPr>
        <w:t>. The terms of reference are as follows:</w:t>
      </w:r>
    </w:p>
    <w:p w14:paraId="14B0F74E" w14:textId="77777777" w:rsidR="00744E82" w:rsidRPr="0029565F" w:rsidRDefault="00744E82" w:rsidP="00606949">
      <w:pPr>
        <w:numPr>
          <w:ilvl w:val="0"/>
          <w:numId w:val="22"/>
        </w:numPr>
        <w:tabs>
          <w:tab w:val="clear" w:pos="681"/>
          <w:tab w:val="num" w:pos="810"/>
        </w:tabs>
        <w:spacing w:before="20" w:after="20"/>
        <w:ind w:left="821" w:hanging="274"/>
        <w:rPr>
          <w:rFonts w:cs="Arial"/>
        </w:rPr>
      </w:pPr>
      <w:r w:rsidRPr="0029565F">
        <w:rPr>
          <w:rFonts w:cs="Arial"/>
        </w:rPr>
        <w:t>To achieve the aims and objectives of the school pay policy;</w:t>
      </w:r>
    </w:p>
    <w:p w14:paraId="640C3583" w14:textId="77777777" w:rsidR="00744E82" w:rsidRPr="0029565F" w:rsidRDefault="00744E82" w:rsidP="00606949">
      <w:pPr>
        <w:numPr>
          <w:ilvl w:val="0"/>
          <w:numId w:val="22"/>
        </w:numPr>
        <w:tabs>
          <w:tab w:val="clear" w:pos="681"/>
          <w:tab w:val="num" w:pos="810"/>
        </w:tabs>
        <w:spacing w:before="20" w:after="20"/>
        <w:ind w:left="821" w:hanging="274"/>
        <w:rPr>
          <w:rFonts w:cs="Arial"/>
        </w:rPr>
      </w:pPr>
      <w:r w:rsidRPr="0029565F">
        <w:rPr>
          <w:rFonts w:cs="Arial"/>
        </w:rPr>
        <w:t>To apply the criteria set by the policy, including linkages with the school appraisal</w:t>
      </w:r>
      <w:r w:rsidRPr="0029565F">
        <w:rPr>
          <w:rFonts w:cs="Arial"/>
          <w:b/>
          <w:color w:val="FF0000"/>
        </w:rPr>
        <w:t xml:space="preserve"> </w:t>
      </w:r>
      <w:r w:rsidRPr="0029565F">
        <w:rPr>
          <w:rFonts w:cs="Arial"/>
        </w:rPr>
        <w:t>policy, in determining the pay of each member of staff;</w:t>
      </w:r>
    </w:p>
    <w:p w14:paraId="436DDC0C" w14:textId="77777777" w:rsidR="00744E82" w:rsidRPr="0029565F" w:rsidRDefault="00744E82" w:rsidP="00606949">
      <w:pPr>
        <w:numPr>
          <w:ilvl w:val="0"/>
          <w:numId w:val="22"/>
        </w:numPr>
        <w:tabs>
          <w:tab w:val="clear" w:pos="681"/>
          <w:tab w:val="num" w:pos="810"/>
        </w:tabs>
        <w:spacing w:before="20" w:after="20"/>
        <w:ind w:left="821" w:hanging="274"/>
        <w:rPr>
          <w:rFonts w:cs="Arial"/>
        </w:rPr>
      </w:pPr>
      <w:r w:rsidRPr="0029565F">
        <w:rPr>
          <w:rFonts w:cs="Arial"/>
        </w:rPr>
        <w:t>To observe all statutory and contractual obligations;</w:t>
      </w:r>
    </w:p>
    <w:p w14:paraId="689FA30E" w14:textId="5F3A31A8" w:rsidR="00744E82" w:rsidRPr="0029565F" w:rsidRDefault="00744E82" w:rsidP="00606949">
      <w:pPr>
        <w:numPr>
          <w:ilvl w:val="0"/>
          <w:numId w:val="22"/>
        </w:numPr>
        <w:tabs>
          <w:tab w:val="clear" w:pos="681"/>
          <w:tab w:val="num" w:pos="810"/>
        </w:tabs>
        <w:spacing w:before="20" w:after="20"/>
        <w:ind w:left="821" w:hanging="274"/>
        <w:rPr>
          <w:rFonts w:cs="Arial"/>
        </w:rPr>
      </w:pPr>
      <w:r w:rsidRPr="0029565F">
        <w:rPr>
          <w:rFonts w:cs="Arial"/>
        </w:rPr>
        <w:t xml:space="preserve">To ensure that the policy complies with the most recent </w:t>
      </w:r>
      <w:hyperlink r:id="rId39" w:history="1">
        <w:r w:rsidRPr="00A35899">
          <w:rPr>
            <w:rStyle w:val="Hyperlink"/>
            <w:rFonts w:cs="Arial"/>
          </w:rPr>
          <w:t>School Teachers’ Pay &amp; Conditions Document</w:t>
        </w:r>
      </w:hyperlink>
      <w:r w:rsidRPr="0029565F">
        <w:rPr>
          <w:rFonts w:cs="Arial"/>
        </w:rPr>
        <w:t>;</w:t>
      </w:r>
    </w:p>
    <w:p w14:paraId="4F3F431A" w14:textId="77777777" w:rsidR="00744E82" w:rsidRPr="0029565F" w:rsidRDefault="00744E82" w:rsidP="00606949">
      <w:pPr>
        <w:numPr>
          <w:ilvl w:val="0"/>
          <w:numId w:val="22"/>
        </w:numPr>
        <w:tabs>
          <w:tab w:val="clear" w:pos="681"/>
          <w:tab w:val="num" w:pos="810"/>
        </w:tabs>
        <w:spacing w:before="20" w:after="20"/>
        <w:ind w:left="821" w:hanging="274"/>
        <w:rPr>
          <w:rFonts w:cs="Arial"/>
        </w:rPr>
      </w:pPr>
      <w:r w:rsidRPr="0029565F">
        <w:rPr>
          <w:rFonts w:cs="Arial"/>
        </w:rPr>
        <w:t>To ensure that all pay decisions have regard to the legislation outlined in (</w:t>
      </w:r>
      <w:hyperlink w:anchor="_Introduction" w:history="1">
        <w:r w:rsidRPr="0029565F">
          <w:rPr>
            <w:rStyle w:val="Hyperlink"/>
            <w:rFonts w:cs="Arial"/>
          </w:rPr>
          <w:t>Section 2</w:t>
        </w:r>
      </w:hyperlink>
      <w:r w:rsidRPr="0029565F">
        <w:rPr>
          <w:rFonts w:cs="Arial"/>
        </w:rPr>
        <w:t xml:space="preserve"> of this policy);</w:t>
      </w:r>
    </w:p>
    <w:p w14:paraId="48FE0F51" w14:textId="77777777" w:rsidR="00744E82" w:rsidRPr="0029565F" w:rsidRDefault="00744E82" w:rsidP="00606949">
      <w:pPr>
        <w:numPr>
          <w:ilvl w:val="0"/>
          <w:numId w:val="22"/>
        </w:numPr>
        <w:tabs>
          <w:tab w:val="clear" w:pos="681"/>
          <w:tab w:val="num" w:pos="810"/>
        </w:tabs>
        <w:spacing w:before="20" w:after="20"/>
        <w:ind w:left="821" w:hanging="274"/>
        <w:rPr>
          <w:rFonts w:cs="Arial"/>
        </w:rPr>
      </w:pPr>
      <w:r w:rsidRPr="0029565F">
        <w:rPr>
          <w:rFonts w:cs="Arial"/>
        </w:rPr>
        <w:t xml:space="preserve">To recommend the annual pay budget, including pay progression at all levels. The </w:t>
      </w:r>
      <w:r w:rsidR="00D01FC0">
        <w:rPr>
          <w:rFonts w:cs="Arial"/>
        </w:rPr>
        <w:t>Governing board</w:t>
      </w:r>
      <w:r w:rsidRPr="0029565F">
        <w:rPr>
          <w:rFonts w:cs="Arial"/>
        </w:rPr>
        <w:t xml:space="preserve"> recognises that funding cannot be used as a criterion to decide </w:t>
      </w:r>
      <w:r w:rsidRPr="0029565F">
        <w:rPr>
          <w:rFonts w:cs="Arial"/>
          <w:bCs/>
          <w:iCs/>
        </w:rPr>
        <w:t>performance</w:t>
      </w:r>
      <w:r w:rsidRPr="0029565F">
        <w:rPr>
          <w:rFonts w:cs="Arial"/>
          <w:bCs/>
        </w:rPr>
        <w:t xml:space="preserve"> </w:t>
      </w:r>
      <w:r w:rsidRPr="0029565F">
        <w:rPr>
          <w:rFonts w:cs="Arial"/>
          <w:bCs/>
          <w:iCs/>
        </w:rPr>
        <w:t>pay</w:t>
      </w:r>
      <w:r w:rsidRPr="0029565F">
        <w:rPr>
          <w:rFonts w:cs="Arial"/>
          <w:bCs/>
        </w:rPr>
        <w:t xml:space="preserve"> </w:t>
      </w:r>
      <w:r w:rsidRPr="0029565F">
        <w:rPr>
          <w:rFonts w:cs="Arial"/>
          <w:bCs/>
          <w:iCs/>
        </w:rPr>
        <w:t>progression;</w:t>
      </w:r>
    </w:p>
    <w:p w14:paraId="559E6C38" w14:textId="77777777" w:rsidR="00744E82" w:rsidRPr="0029565F" w:rsidRDefault="00744E82" w:rsidP="00606949">
      <w:pPr>
        <w:numPr>
          <w:ilvl w:val="0"/>
          <w:numId w:val="22"/>
        </w:numPr>
        <w:tabs>
          <w:tab w:val="clear" w:pos="681"/>
          <w:tab w:val="num" w:pos="810"/>
        </w:tabs>
        <w:spacing w:before="20" w:after="20"/>
        <w:ind w:left="821" w:hanging="274"/>
        <w:rPr>
          <w:rFonts w:cs="Arial"/>
        </w:rPr>
      </w:pPr>
      <w:r w:rsidRPr="0029565F">
        <w:rPr>
          <w:rFonts w:cs="Arial"/>
        </w:rPr>
        <w:t xml:space="preserve">To minute clearly the reasons for all recommendations / decisions and to report these to the full </w:t>
      </w:r>
      <w:r w:rsidR="00D01FC0">
        <w:rPr>
          <w:rFonts w:cs="Arial"/>
        </w:rPr>
        <w:t>Governing board</w:t>
      </w:r>
      <w:r w:rsidRPr="0029565F">
        <w:rPr>
          <w:rFonts w:cs="Arial"/>
        </w:rPr>
        <w:t>;</w:t>
      </w:r>
    </w:p>
    <w:p w14:paraId="39AA795C" w14:textId="77777777" w:rsidR="00744E82" w:rsidRPr="0029565F" w:rsidRDefault="00744E82" w:rsidP="00606949">
      <w:pPr>
        <w:numPr>
          <w:ilvl w:val="0"/>
          <w:numId w:val="22"/>
        </w:numPr>
        <w:tabs>
          <w:tab w:val="clear" w:pos="681"/>
          <w:tab w:val="num" w:pos="810"/>
        </w:tabs>
        <w:spacing w:before="20" w:after="20"/>
        <w:ind w:left="821" w:hanging="274"/>
        <w:rPr>
          <w:rFonts w:cs="Arial"/>
        </w:rPr>
      </w:pPr>
      <w:r w:rsidRPr="0029565F">
        <w:rPr>
          <w:rFonts w:cs="Arial"/>
        </w:rPr>
        <w:t xml:space="preserve">To </w:t>
      </w:r>
      <w:r w:rsidRPr="0029565F">
        <w:rPr>
          <w:rFonts w:cs="Arial"/>
          <w:bCs/>
          <w:iCs/>
        </w:rPr>
        <w:t>ensure that each member of staff receives, by 31</w:t>
      </w:r>
      <w:r w:rsidRPr="0029565F">
        <w:rPr>
          <w:rFonts w:cs="Arial"/>
          <w:bCs/>
          <w:iCs/>
          <w:vertAlign w:val="superscript"/>
        </w:rPr>
        <w:t>st</w:t>
      </w:r>
      <w:r w:rsidRPr="0029565F">
        <w:rPr>
          <w:rFonts w:cs="Arial"/>
          <w:bCs/>
          <w:iCs/>
        </w:rPr>
        <w:t xml:space="preserve"> October each year, a written statement of the breakdown of pay as at 1</w:t>
      </w:r>
      <w:r w:rsidRPr="0029565F">
        <w:rPr>
          <w:rFonts w:cs="Arial"/>
          <w:bCs/>
          <w:iCs/>
          <w:vertAlign w:val="superscript"/>
        </w:rPr>
        <w:t>st</w:t>
      </w:r>
      <w:r w:rsidRPr="0029565F">
        <w:rPr>
          <w:rFonts w:cs="Arial"/>
          <w:bCs/>
          <w:iCs/>
        </w:rPr>
        <w:t xml:space="preserve"> September;</w:t>
      </w:r>
    </w:p>
    <w:p w14:paraId="5BFE902B" w14:textId="77777777" w:rsidR="00744E82" w:rsidRPr="0029565F" w:rsidRDefault="00744E82" w:rsidP="00606949">
      <w:pPr>
        <w:numPr>
          <w:ilvl w:val="0"/>
          <w:numId w:val="22"/>
        </w:numPr>
        <w:tabs>
          <w:tab w:val="clear" w:pos="681"/>
          <w:tab w:val="num" w:pos="810"/>
        </w:tabs>
        <w:spacing w:before="20" w:after="20"/>
        <w:ind w:left="821" w:hanging="274"/>
        <w:rPr>
          <w:rFonts w:cs="Arial"/>
        </w:rPr>
      </w:pPr>
      <w:r w:rsidRPr="0029565F">
        <w:rPr>
          <w:rFonts w:cs="Arial"/>
        </w:rPr>
        <w:t xml:space="preserve">To </w:t>
      </w:r>
      <w:r w:rsidRPr="0029565F">
        <w:rPr>
          <w:rFonts w:cs="Arial"/>
          <w:bCs/>
          <w:iCs/>
        </w:rPr>
        <w:t>ensure staff know the procedure for making an appeal against pay decisions;</w:t>
      </w:r>
    </w:p>
    <w:p w14:paraId="4FEDA1FA" w14:textId="77777777" w:rsidR="00744E82" w:rsidRPr="0029565F" w:rsidRDefault="00744E82" w:rsidP="00606949">
      <w:pPr>
        <w:numPr>
          <w:ilvl w:val="0"/>
          <w:numId w:val="22"/>
        </w:numPr>
        <w:tabs>
          <w:tab w:val="clear" w:pos="681"/>
          <w:tab w:val="num" w:pos="810"/>
        </w:tabs>
        <w:spacing w:before="20" w:after="20"/>
        <w:ind w:left="821" w:hanging="274"/>
        <w:rPr>
          <w:rFonts w:cs="Arial"/>
        </w:rPr>
      </w:pPr>
      <w:r w:rsidRPr="0029565F">
        <w:rPr>
          <w:rFonts w:cs="Arial"/>
        </w:rPr>
        <w:t xml:space="preserve">To </w:t>
      </w:r>
      <w:r w:rsidRPr="0029565F">
        <w:rPr>
          <w:rFonts w:cs="Arial"/>
          <w:bCs/>
          <w:iCs/>
        </w:rPr>
        <w:t xml:space="preserve">ensure there are clear job descriptions for each post at the school, so that additional allowances can be awarded in a fair, equitable and consistent manner; </w:t>
      </w:r>
    </w:p>
    <w:p w14:paraId="6A6BE449" w14:textId="77777777" w:rsidR="00744E82" w:rsidRPr="0029565F" w:rsidRDefault="00744E82" w:rsidP="00606949">
      <w:pPr>
        <w:numPr>
          <w:ilvl w:val="0"/>
          <w:numId w:val="22"/>
        </w:numPr>
        <w:tabs>
          <w:tab w:val="clear" w:pos="681"/>
          <w:tab w:val="num" w:pos="810"/>
        </w:tabs>
        <w:spacing w:before="20" w:after="20"/>
        <w:ind w:left="821" w:hanging="274"/>
        <w:rPr>
          <w:rFonts w:cs="Arial"/>
        </w:rPr>
      </w:pPr>
      <w:r w:rsidRPr="0029565F">
        <w:rPr>
          <w:rFonts w:cs="Arial"/>
        </w:rPr>
        <w:t xml:space="preserve">To keep abreast of developments influencing pay considerations and to advise the </w:t>
      </w:r>
      <w:r w:rsidR="00D01FC0">
        <w:rPr>
          <w:rFonts w:cs="Arial"/>
        </w:rPr>
        <w:t>Governing board</w:t>
      </w:r>
      <w:r w:rsidRPr="0029565F">
        <w:rPr>
          <w:rFonts w:cs="Arial"/>
        </w:rPr>
        <w:t xml:space="preserve"> when the pay policy needs to be reviewed.</w:t>
      </w:r>
    </w:p>
    <w:p w14:paraId="4821B703" w14:textId="77777777" w:rsidR="00E32C3D" w:rsidRPr="0029565F" w:rsidRDefault="00744E82" w:rsidP="00606949">
      <w:pPr>
        <w:keepNext/>
        <w:numPr>
          <w:ilvl w:val="0"/>
          <w:numId w:val="21"/>
        </w:numPr>
        <w:tabs>
          <w:tab w:val="clear" w:pos="360"/>
          <w:tab w:val="num" w:pos="426"/>
        </w:tabs>
        <w:spacing w:before="20" w:after="20"/>
        <w:ind w:left="0" w:firstLine="0"/>
        <w:rPr>
          <w:rFonts w:cs="Arial"/>
          <w:b/>
        </w:rPr>
      </w:pPr>
      <w:r w:rsidRPr="0029565F">
        <w:rPr>
          <w:rFonts w:cs="Arial"/>
          <w:b/>
        </w:rPr>
        <w:t>Pecuniary interest</w:t>
      </w:r>
    </w:p>
    <w:p w14:paraId="5076B68B" w14:textId="77777777" w:rsidR="00744E82" w:rsidRPr="0029565F" w:rsidRDefault="00744E82" w:rsidP="00606949">
      <w:pPr>
        <w:numPr>
          <w:ilvl w:val="1"/>
          <w:numId w:val="21"/>
        </w:numPr>
        <w:spacing w:before="20" w:after="20"/>
        <w:ind w:hanging="542"/>
        <w:rPr>
          <w:rFonts w:cs="Arial"/>
        </w:rPr>
      </w:pPr>
      <w:r w:rsidRPr="0029565F">
        <w:rPr>
          <w:rFonts w:cs="Arial"/>
        </w:rPr>
        <w:t>No governor may participate in discussions leading to recommendations / decisions in which he / she has a pecuniary interest.</w:t>
      </w:r>
    </w:p>
    <w:p w14:paraId="7545E522" w14:textId="77777777" w:rsidR="00E32C3D" w:rsidRPr="0029565F" w:rsidRDefault="00744E82" w:rsidP="00606949">
      <w:pPr>
        <w:keepNext/>
        <w:numPr>
          <w:ilvl w:val="0"/>
          <w:numId w:val="21"/>
        </w:numPr>
        <w:tabs>
          <w:tab w:val="clear" w:pos="360"/>
          <w:tab w:val="num" w:pos="426"/>
        </w:tabs>
        <w:spacing w:before="20" w:after="20"/>
        <w:ind w:left="0" w:firstLine="0"/>
        <w:rPr>
          <w:rFonts w:cs="Arial"/>
          <w:b/>
        </w:rPr>
      </w:pPr>
      <w:r w:rsidRPr="0029565F">
        <w:rPr>
          <w:rFonts w:cs="Arial"/>
          <w:b/>
        </w:rPr>
        <w:t>Procedure</w:t>
      </w:r>
    </w:p>
    <w:p w14:paraId="1574461C" w14:textId="61AC3C7A" w:rsidR="00E32C3D" w:rsidRPr="009F160F" w:rsidRDefault="00744E82" w:rsidP="00606949">
      <w:pPr>
        <w:numPr>
          <w:ilvl w:val="1"/>
          <w:numId w:val="21"/>
        </w:numPr>
        <w:spacing w:before="20" w:after="20"/>
        <w:ind w:hanging="542"/>
        <w:rPr>
          <w:rFonts w:cs="Arial"/>
        </w:rPr>
      </w:pPr>
      <w:r w:rsidRPr="0029565F">
        <w:rPr>
          <w:rFonts w:cs="Arial"/>
        </w:rPr>
        <w:t xml:space="preserve">The full </w:t>
      </w:r>
      <w:r w:rsidR="00D01FC0">
        <w:rPr>
          <w:rFonts w:cs="Arial"/>
        </w:rPr>
        <w:t>Governing board</w:t>
      </w:r>
      <w:r w:rsidRPr="0029565F">
        <w:rPr>
          <w:rFonts w:cs="Arial"/>
        </w:rPr>
        <w:t xml:space="preserve"> will receive the report of the </w:t>
      </w:r>
      <w:r w:rsidR="00BA602B">
        <w:rPr>
          <w:rFonts w:cs="Arial"/>
        </w:rPr>
        <w:t>Pay</w:t>
      </w:r>
      <w:r w:rsidRPr="009F160F">
        <w:rPr>
          <w:rFonts w:cs="Arial"/>
        </w:rPr>
        <w:t xml:space="preserve"> </w:t>
      </w:r>
      <w:r w:rsidRPr="0029565F">
        <w:rPr>
          <w:rFonts w:cs="Arial"/>
        </w:rPr>
        <w:t>committee in the confidential section of the agenda. Once decisions have been made, members of staff will be advised in writing.</w:t>
      </w:r>
    </w:p>
    <w:p w14:paraId="28B26449" w14:textId="77777777" w:rsidR="000E1820" w:rsidRPr="009F160F" w:rsidRDefault="00744E82" w:rsidP="009F160F">
      <w:pPr>
        <w:spacing w:before="20" w:after="20"/>
        <w:rPr>
          <w:rFonts w:cs="Arial"/>
        </w:rPr>
        <w:sectPr w:rsidR="000E1820" w:rsidRPr="009F160F" w:rsidSect="002D7671">
          <w:pgSz w:w="11907" w:h="16840" w:code="9"/>
          <w:pgMar w:top="1134" w:right="1134" w:bottom="1134" w:left="1134" w:header="709" w:footer="709" w:gutter="0"/>
          <w:cols w:space="708"/>
          <w:docGrid w:linePitch="360"/>
        </w:sectPr>
      </w:pPr>
      <w:r w:rsidRPr="0029565F">
        <w:rPr>
          <w:rFonts w:cs="Arial"/>
        </w:rPr>
        <w:t>Every teacher’s salary must be reviewed annually, with effect from 1</w:t>
      </w:r>
      <w:r w:rsidRPr="0029565F">
        <w:rPr>
          <w:rFonts w:cs="Arial"/>
          <w:vertAlign w:val="superscript"/>
        </w:rPr>
        <w:t>st</w:t>
      </w:r>
      <w:r w:rsidRPr="0029565F">
        <w:rPr>
          <w:rFonts w:cs="Arial"/>
        </w:rPr>
        <w:t xml:space="preserve"> September. A written statement of pay must be sent to each teacher by 31</w:t>
      </w:r>
      <w:r w:rsidRPr="0029565F">
        <w:rPr>
          <w:rFonts w:cs="Arial"/>
          <w:vertAlign w:val="superscript"/>
        </w:rPr>
        <w:t>st</w:t>
      </w:r>
      <w:r w:rsidRPr="0029565F">
        <w:rPr>
          <w:rFonts w:cs="Arial"/>
        </w:rPr>
        <w:t xml:space="preserve"> October each year.</w:t>
      </w:r>
      <w:bookmarkStart w:id="119" w:name="_Appendix_D_–"/>
      <w:bookmarkEnd w:id="119"/>
      <w:r w:rsidR="002D7671" w:rsidRPr="0029565F" w:rsidDel="002D7671">
        <w:rPr>
          <w:rFonts w:cs="Arial"/>
          <w:sz w:val="20"/>
          <w:szCs w:val="20"/>
        </w:rPr>
        <w:t xml:space="preserve"> </w:t>
      </w:r>
    </w:p>
    <w:p w14:paraId="5EBDFC44" w14:textId="7DCB14D5" w:rsidR="00305D5B" w:rsidRPr="0029565F" w:rsidRDefault="00305D5B" w:rsidP="00305D5B">
      <w:pPr>
        <w:pStyle w:val="Heading2"/>
        <w:keepLines/>
      </w:pPr>
      <w:bookmarkStart w:id="120" w:name="_Appendix_E_-"/>
      <w:bookmarkStart w:id="121" w:name="_Toc54700392"/>
      <w:bookmarkEnd w:id="120"/>
      <w:r w:rsidRPr="0029565F">
        <w:t xml:space="preserve">Appendix D – </w:t>
      </w:r>
      <w:r w:rsidR="00D43073">
        <w:t xml:space="preserve">Application for </w:t>
      </w:r>
      <w:r w:rsidR="00A12DDC">
        <w:t>the U</w:t>
      </w:r>
      <w:r w:rsidR="00A12DDC" w:rsidRPr="0029565F">
        <w:t>pper</w:t>
      </w:r>
      <w:r w:rsidR="00A12DDC">
        <w:t xml:space="preserve"> </w:t>
      </w:r>
      <w:r w:rsidR="00A12DDC" w:rsidRPr="0029565F">
        <w:t>pay</w:t>
      </w:r>
      <w:r w:rsidRPr="0029565F">
        <w:t xml:space="preserve"> </w:t>
      </w:r>
      <w:r w:rsidR="00D43073">
        <w:t>R</w:t>
      </w:r>
      <w:r w:rsidRPr="0029565F">
        <w:t>ange</w:t>
      </w:r>
      <w:bookmarkEnd w:id="121"/>
    </w:p>
    <w:p w14:paraId="39839BF0" w14:textId="3944B300" w:rsidR="00305D5B" w:rsidRPr="0029565F" w:rsidRDefault="00305D5B" w:rsidP="00305D5B">
      <w:pPr>
        <w:shd w:val="clear" w:color="auto" w:fill="FFFFFF"/>
        <w:spacing w:before="100" w:beforeAutospacing="1" w:after="225"/>
        <w:rPr>
          <w:rFonts w:cs="Arial"/>
          <w:lang w:val="en"/>
        </w:rPr>
      </w:pPr>
      <w:r w:rsidRPr="0029565F">
        <w:rPr>
          <w:rFonts w:cs="Arial"/>
          <w:b/>
          <w:lang w:val="en"/>
        </w:rPr>
        <w:t xml:space="preserve"> </w:t>
      </w:r>
      <w:r w:rsidR="00D43073">
        <w:rPr>
          <w:rFonts w:cs="Arial"/>
          <w:b/>
          <w:lang w:val="en"/>
        </w:rPr>
        <w:t>N</w:t>
      </w:r>
      <w:r w:rsidRPr="0029565F">
        <w:rPr>
          <w:rFonts w:cs="Arial"/>
          <w:b/>
          <w:lang w:val="en"/>
        </w:rPr>
        <w:t>ame:</w:t>
      </w:r>
      <w:r w:rsidRPr="0029565F">
        <w:rPr>
          <w:rFonts w:cs="Arial"/>
          <w:lang w:val="en"/>
        </w:rPr>
        <w:t xml:space="preserve"> ………………………………     </w:t>
      </w:r>
      <w:r w:rsidRPr="0029565F">
        <w:rPr>
          <w:rFonts w:cs="Arial"/>
          <w:b/>
          <w:lang w:val="en"/>
        </w:rPr>
        <w:t>School:</w:t>
      </w:r>
      <w:r w:rsidR="009B7634">
        <w:rPr>
          <w:rFonts w:cs="Arial"/>
          <w:b/>
          <w:lang w:val="en"/>
        </w:rPr>
        <w:t xml:space="preserve"> </w:t>
      </w:r>
      <w:r w:rsidRPr="0029565F">
        <w:rPr>
          <w:rFonts w:cs="Arial"/>
          <w:lang w:val="en"/>
        </w:rPr>
        <w:t xml:space="preserve">…………………………………………..      </w:t>
      </w:r>
    </w:p>
    <w:p w14:paraId="09021ADC" w14:textId="0A755193" w:rsidR="00305D5B" w:rsidRPr="0029565F" w:rsidRDefault="00305D5B" w:rsidP="00305D5B">
      <w:pPr>
        <w:shd w:val="clear" w:color="auto" w:fill="FFFFFF"/>
        <w:spacing w:before="100" w:beforeAutospacing="1" w:after="225"/>
        <w:rPr>
          <w:rFonts w:cs="Arial"/>
          <w:lang w:val="en"/>
        </w:rPr>
      </w:pPr>
      <w:r w:rsidRPr="0029565F">
        <w:rPr>
          <w:rFonts w:cs="Arial"/>
          <w:b/>
          <w:lang w:val="en"/>
        </w:rPr>
        <w:t>Application submitted to:</w:t>
      </w:r>
      <w:r w:rsidRPr="0029565F">
        <w:rPr>
          <w:rFonts w:cs="Arial"/>
          <w:lang w:val="en"/>
        </w:rPr>
        <w:t xml:space="preserve"> …………..........................…..      </w:t>
      </w:r>
      <w:r w:rsidRPr="0029565F">
        <w:rPr>
          <w:rFonts w:cs="Arial"/>
          <w:b/>
          <w:lang w:val="en"/>
        </w:rPr>
        <w:t>On (date)</w:t>
      </w:r>
      <w:r w:rsidR="00F300CE">
        <w:rPr>
          <w:rFonts w:cs="Arial"/>
          <w:b/>
          <w:lang w:val="en"/>
        </w:rPr>
        <w:t>:</w:t>
      </w:r>
      <w:r w:rsidRPr="0029565F">
        <w:rPr>
          <w:rFonts w:cs="Arial"/>
          <w:lang w:val="en"/>
        </w:rPr>
        <w:t xml:space="preserve"> …………………</w:t>
      </w:r>
    </w:p>
    <w:p w14:paraId="30CD2724" w14:textId="77777777" w:rsidR="00050C93" w:rsidRDefault="00050C93" w:rsidP="00305D5B">
      <w:pPr>
        <w:shd w:val="clear" w:color="auto" w:fill="FFFFFF"/>
        <w:spacing w:before="100" w:beforeAutospacing="1" w:after="225"/>
        <w:rPr>
          <w:rFonts w:cs="Arial"/>
          <w:lang w:val="en"/>
        </w:rPr>
      </w:pPr>
      <w:r>
        <w:rPr>
          <w:rFonts w:cs="Arial"/>
          <w:lang w:val="en"/>
        </w:rPr>
        <w:t>This form should be used in conjunction with the agreed pay policy of the school and the School Teachers Pay and Conditions Document</w:t>
      </w:r>
      <w:r w:rsidR="00A12DDC">
        <w:rPr>
          <w:rFonts w:cs="Arial"/>
          <w:lang w:val="en"/>
        </w:rPr>
        <w:t>.</w:t>
      </w:r>
    </w:p>
    <w:p w14:paraId="496352EA" w14:textId="5E0ADA9A" w:rsidR="00050C93" w:rsidRDefault="00050C93" w:rsidP="00305D5B">
      <w:pPr>
        <w:shd w:val="clear" w:color="auto" w:fill="FFFFFF"/>
        <w:spacing w:before="100" w:beforeAutospacing="1" w:after="225"/>
        <w:rPr>
          <w:rFonts w:cs="Arial"/>
          <w:lang w:val="en"/>
        </w:rPr>
      </w:pPr>
      <w:r>
        <w:rPr>
          <w:rFonts w:cs="Arial"/>
          <w:lang w:val="en"/>
        </w:rPr>
        <w:t xml:space="preserve">Any qualified teacher can apply to be paid on the Upper Pay Range.  One application may be submitted annually.  The closing date for this school is </w:t>
      </w:r>
      <w:r w:rsidR="00BA602B">
        <w:rPr>
          <w:rFonts w:cs="Arial"/>
          <w:lang w:val="en"/>
        </w:rPr>
        <w:t>6</w:t>
      </w:r>
      <w:r w:rsidR="00BA602B" w:rsidRPr="00BA602B">
        <w:rPr>
          <w:rFonts w:cs="Arial"/>
          <w:vertAlign w:val="superscript"/>
          <w:lang w:val="en"/>
        </w:rPr>
        <w:t>th</w:t>
      </w:r>
      <w:r w:rsidR="00BA602B">
        <w:rPr>
          <w:rFonts w:cs="Arial"/>
          <w:lang w:val="en"/>
        </w:rPr>
        <w:t xml:space="preserve"> September</w:t>
      </w:r>
      <w:r>
        <w:rPr>
          <w:rFonts w:cs="Arial"/>
          <w:lang w:val="en"/>
        </w:rPr>
        <w:t>.</w:t>
      </w:r>
    </w:p>
    <w:p w14:paraId="0270B5C0" w14:textId="2A2491CB" w:rsidR="00050C93" w:rsidRDefault="00050C93" w:rsidP="00305D5B">
      <w:pPr>
        <w:shd w:val="clear" w:color="auto" w:fill="FFFFFF"/>
        <w:spacing w:before="100" w:beforeAutospacing="1" w:after="225"/>
        <w:rPr>
          <w:rFonts w:cs="Arial"/>
          <w:lang w:val="en"/>
        </w:rPr>
      </w:pPr>
      <w:r>
        <w:rPr>
          <w:rFonts w:cs="Arial"/>
          <w:lang w:val="en"/>
        </w:rPr>
        <w:t xml:space="preserve">Please complete the form and return by the closing date to the </w:t>
      </w:r>
      <w:r w:rsidR="00BA602B">
        <w:rPr>
          <w:rFonts w:cs="Arial"/>
          <w:lang w:val="en"/>
        </w:rPr>
        <w:t xml:space="preserve">Executive </w:t>
      </w:r>
      <w:r w:rsidR="00A12DDC">
        <w:rPr>
          <w:rFonts w:cs="Arial"/>
          <w:lang w:val="en"/>
        </w:rPr>
        <w:t>Head teacher</w:t>
      </w:r>
      <w:r>
        <w:rPr>
          <w:rFonts w:cs="Arial"/>
          <w:lang w:val="en"/>
        </w:rPr>
        <w:t>, including any written evidence to support your application.  Examples of evidence that you may wish to include are</w:t>
      </w:r>
      <w:r w:rsidR="00D43073">
        <w:rPr>
          <w:rFonts w:cs="Arial"/>
          <w:lang w:val="en"/>
        </w:rPr>
        <w:t xml:space="preserve"> (</w:t>
      </w:r>
      <w:r w:rsidR="00D43073" w:rsidRPr="00E1474C">
        <w:rPr>
          <w:rFonts w:cs="Arial"/>
          <w:b/>
          <w:lang w:val="en"/>
        </w:rPr>
        <w:t>school to insert appropriate examples</w:t>
      </w:r>
      <w:r w:rsidR="00D43073">
        <w:rPr>
          <w:rFonts w:cs="Arial"/>
          <w:lang w:val="en"/>
        </w:rPr>
        <w:t>)</w:t>
      </w:r>
      <w:r>
        <w:rPr>
          <w:rFonts w:cs="Arial"/>
          <w:lang w:val="en"/>
        </w:rPr>
        <w:t>:</w:t>
      </w:r>
    </w:p>
    <w:p w14:paraId="6FA717A1" w14:textId="60C0FB10" w:rsidR="00296787" w:rsidRPr="009B7634" w:rsidRDefault="00296787" w:rsidP="00606949">
      <w:pPr>
        <w:numPr>
          <w:ilvl w:val="0"/>
          <w:numId w:val="26"/>
        </w:numPr>
        <w:shd w:val="clear" w:color="auto" w:fill="FFFFFF"/>
        <w:spacing w:before="100" w:beforeAutospacing="1" w:after="225"/>
        <w:rPr>
          <w:rFonts w:cs="Arial"/>
          <w:lang w:val="en"/>
        </w:rPr>
      </w:pPr>
      <w:r w:rsidRPr="009B7634">
        <w:rPr>
          <w:rFonts w:cs="Arial"/>
          <w:lang w:val="en"/>
        </w:rPr>
        <w:t>Two successful performance management reviews (records of two appraisal cycles), and the evidence within this will include the following:</w:t>
      </w:r>
    </w:p>
    <w:p w14:paraId="38F938F4" w14:textId="5FA59DE4" w:rsidR="00050C93" w:rsidRPr="009B7634" w:rsidRDefault="00050C93" w:rsidP="00606949">
      <w:pPr>
        <w:numPr>
          <w:ilvl w:val="1"/>
          <w:numId w:val="26"/>
        </w:numPr>
        <w:shd w:val="clear" w:color="auto" w:fill="FFFFFF"/>
        <w:spacing w:before="100" w:beforeAutospacing="1" w:after="225"/>
        <w:rPr>
          <w:rFonts w:cs="Arial"/>
          <w:lang w:val="en"/>
        </w:rPr>
      </w:pPr>
      <w:r w:rsidRPr="009B7634">
        <w:rPr>
          <w:rFonts w:cs="Arial"/>
          <w:lang w:val="en"/>
        </w:rPr>
        <w:t>Classroom observations</w:t>
      </w:r>
    </w:p>
    <w:p w14:paraId="4C0AB6F1" w14:textId="77777777" w:rsidR="00050C93" w:rsidRPr="009B7634" w:rsidRDefault="00050C93" w:rsidP="00606949">
      <w:pPr>
        <w:numPr>
          <w:ilvl w:val="1"/>
          <w:numId w:val="26"/>
        </w:numPr>
        <w:shd w:val="clear" w:color="auto" w:fill="FFFFFF"/>
        <w:spacing w:before="100" w:beforeAutospacing="1" w:after="225"/>
        <w:rPr>
          <w:rFonts w:cs="Arial"/>
          <w:lang w:val="en"/>
        </w:rPr>
      </w:pPr>
      <w:r w:rsidRPr="009B7634">
        <w:rPr>
          <w:rFonts w:cs="Arial"/>
          <w:lang w:val="en"/>
        </w:rPr>
        <w:t>Internal tracking of pupil progress</w:t>
      </w:r>
    </w:p>
    <w:p w14:paraId="52192546" w14:textId="77777777" w:rsidR="00050C93" w:rsidRPr="009B7634" w:rsidRDefault="000C5234" w:rsidP="00606949">
      <w:pPr>
        <w:numPr>
          <w:ilvl w:val="1"/>
          <w:numId w:val="26"/>
        </w:numPr>
        <w:shd w:val="clear" w:color="auto" w:fill="FFFFFF"/>
        <w:spacing w:before="100" w:beforeAutospacing="1" w:after="225"/>
        <w:rPr>
          <w:rFonts w:cs="Arial"/>
          <w:lang w:val="en"/>
        </w:rPr>
      </w:pPr>
      <w:r w:rsidRPr="009B7634">
        <w:rPr>
          <w:rFonts w:cs="Arial"/>
          <w:lang w:val="en"/>
        </w:rPr>
        <w:t>Evidence of supporting progress against the Teachers’ Standards using self-assessment</w:t>
      </w:r>
    </w:p>
    <w:p w14:paraId="29B7D396" w14:textId="77777777" w:rsidR="000C5234" w:rsidRPr="009B7634" w:rsidRDefault="000C5234" w:rsidP="00606949">
      <w:pPr>
        <w:numPr>
          <w:ilvl w:val="1"/>
          <w:numId w:val="26"/>
        </w:numPr>
        <w:shd w:val="clear" w:color="auto" w:fill="FFFFFF"/>
        <w:spacing w:before="100" w:beforeAutospacing="1" w:after="225"/>
        <w:rPr>
          <w:rFonts w:cs="Arial"/>
          <w:lang w:val="en"/>
        </w:rPr>
      </w:pPr>
      <w:r w:rsidRPr="009B7634">
        <w:rPr>
          <w:rFonts w:cs="Arial"/>
          <w:lang w:val="en"/>
        </w:rPr>
        <w:t>Records of CPD and evidence of impact</w:t>
      </w:r>
    </w:p>
    <w:p w14:paraId="0C3CDD37" w14:textId="77777777" w:rsidR="00305D5B" w:rsidRPr="0029565F" w:rsidRDefault="00305D5B" w:rsidP="00305D5B">
      <w:pPr>
        <w:shd w:val="clear" w:color="auto" w:fill="FFFFFF"/>
        <w:spacing w:before="100" w:beforeAutospacing="1" w:after="225"/>
        <w:rPr>
          <w:rFonts w:cs="Arial"/>
          <w:lang w:val="en"/>
        </w:rPr>
      </w:pPr>
      <w:r w:rsidRPr="0029565F">
        <w:rPr>
          <w:rFonts w:cs="Arial"/>
          <w:lang w:val="en"/>
        </w:rPr>
        <w:t xml:space="preserve">An application to be paid on the upper pay range will be successful where the </w:t>
      </w:r>
      <w:r w:rsidR="00D01FC0">
        <w:rPr>
          <w:rFonts w:cs="Arial"/>
          <w:lang w:val="en"/>
        </w:rPr>
        <w:t>Governing board</w:t>
      </w:r>
      <w:r w:rsidRPr="0029565F">
        <w:rPr>
          <w:rFonts w:cs="Arial"/>
          <w:lang w:val="en"/>
        </w:rPr>
        <w:t xml:space="preserve"> is satisfied that you meet the following assessment criteria as detailed within the Pay Policy:</w:t>
      </w:r>
    </w:p>
    <w:p w14:paraId="15FF318B" w14:textId="77777777" w:rsidR="00305D5B" w:rsidRPr="0029565F" w:rsidRDefault="00305D5B" w:rsidP="00606949">
      <w:pPr>
        <w:numPr>
          <w:ilvl w:val="0"/>
          <w:numId w:val="25"/>
        </w:numPr>
        <w:shd w:val="clear" w:color="auto" w:fill="FFFFFF"/>
        <w:spacing w:before="100" w:beforeAutospacing="1" w:after="75"/>
        <w:rPr>
          <w:rFonts w:cs="Arial"/>
          <w:lang w:val="en"/>
        </w:rPr>
      </w:pPr>
      <w:r w:rsidRPr="0029565F">
        <w:rPr>
          <w:rFonts w:cs="Arial"/>
          <w:lang w:val="en"/>
        </w:rPr>
        <w:t>you are highly competent in all elements of the relevant standards</w:t>
      </w:r>
    </w:p>
    <w:p w14:paraId="7A1C5B90" w14:textId="77777777" w:rsidR="00305D5B" w:rsidRPr="0029565F" w:rsidRDefault="00305D5B" w:rsidP="00606949">
      <w:pPr>
        <w:numPr>
          <w:ilvl w:val="0"/>
          <w:numId w:val="25"/>
        </w:numPr>
        <w:shd w:val="clear" w:color="auto" w:fill="FFFFFF"/>
        <w:spacing w:before="100" w:beforeAutospacing="1" w:after="75"/>
        <w:rPr>
          <w:rFonts w:cs="Arial"/>
          <w:lang w:val="en"/>
        </w:rPr>
      </w:pPr>
      <w:r w:rsidRPr="0029565F">
        <w:rPr>
          <w:rFonts w:cs="Arial"/>
          <w:lang w:val="en"/>
        </w:rPr>
        <w:t>your achievements and contribution to the school are substantial and sustained</w:t>
      </w:r>
    </w:p>
    <w:p w14:paraId="2CF19AC0" w14:textId="77777777" w:rsidR="00305D5B" w:rsidRPr="0029565F" w:rsidRDefault="00305D5B" w:rsidP="00305D5B">
      <w:pPr>
        <w:spacing w:after="0"/>
        <w:rPr>
          <w:rFonts w:cs="Arial"/>
          <w:lang w:val="en"/>
        </w:rPr>
      </w:pPr>
    </w:p>
    <w:p w14:paraId="4BCA7FE8" w14:textId="77777777" w:rsidR="00305D5B" w:rsidRDefault="00305D5B" w:rsidP="00305D5B">
      <w:pPr>
        <w:spacing w:after="0"/>
        <w:rPr>
          <w:rFonts w:cs="Arial"/>
          <w:lang w:val="en"/>
        </w:rPr>
      </w:pPr>
      <w:r w:rsidRPr="0029565F">
        <w:rPr>
          <w:rFonts w:cs="Arial"/>
          <w:lang w:val="en"/>
        </w:rPr>
        <w:t xml:space="preserve">If you wish to be considered to be paid on the upper pay range you will need to demonstrate to the </w:t>
      </w:r>
      <w:r w:rsidR="00D01FC0">
        <w:rPr>
          <w:rFonts w:cs="Arial"/>
          <w:lang w:val="en"/>
        </w:rPr>
        <w:t>Governing board</w:t>
      </w:r>
      <w:r w:rsidRPr="0029565F">
        <w:rPr>
          <w:rFonts w:cs="Arial"/>
          <w:lang w:val="en"/>
        </w:rPr>
        <w:t xml:space="preserve"> how you meet the school’s definitions of ‘highly competent’, ‘substantial’ and ‘sustained’ which, along with the outcomes of your most recent appraisal, will form the basis of the school’s assessment criteria for access to the Upper Pay range.</w:t>
      </w:r>
    </w:p>
    <w:p w14:paraId="3299BE0D" w14:textId="77777777" w:rsidR="00D43073" w:rsidRDefault="00D43073" w:rsidP="00305D5B">
      <w:pPr>
        <w:spacing w:after="0"/>
        <w:rPr>
          <w:rFonts w:cs="Arial"/>
          <w:lang w:val="en"/>
        </w:rPr>
      </w:pPr>
    </w:p>
    <w:p w14:paraId="4F1CB93C" w14:textId="77777777" w:rsidR="00D43073" w:rsidRPr="0029565F" w:rsidRDefault="00D43073" w:rsidP="00305D5B">
      <w:pPr>
        <w:spacing w:after="0"/>
        <w:rPr>
          <w:rFonts w:cs="Arial"/>
          <w:lang w:val="en"/>
        </w:rPr>
      </w:pPr>
      <w:r>
        <w:rPr>
          <w:rFonts w:cs="Arial"/>
          <w:lang w:val="en"/>
        </w:rPr>
        <w:t>Schools to specify the information that applicants should provide in order to demonstrate how they meet the application criteria:</w:t>
      </w:r>
    </w:p>
    <w:p w14:paraId="1BFB1BB3" w14:textId="77777777" w:rsidR="00305D5B" w:rsidRPr="0029565F" w:rsidRDefault="00305D5B" w:rsidP="00305D5B">
      <w:pPr>
        <w:spacing w:after="0"/>
        <w:rPr>
          <w:rFonts w:cs="Arial"/>
          <w:lang w:val="en"/>
        </w:rPr>
      </w:pPr>
    </w:p>
    <w:p w14:paraId="0B6260E5" w14:textId="118BBFAB" w:rsidR="00305D5B" w:rsidRPr="0029565F" w:rsidRDefault="000C5234" w:rsidP="00305D5B">
      <w:pPr>
        <w:rPr>
          <w:rFonts w:cs="Arial"/>
        </w:rPr>
      </w:pPr>
      <w:r>
        <w:rPr>
          <w:rFonts w:cs="Arial"/>
        </w:rPr>
        <w:t xml:space="preserve">Progression to the UPR requires </w:t>
      </w:r>
      <w:r w:rsidR="00A12DDC">
        <w:rPr>
          <w:rFonts w:cs="Arial"/>
        </w:rPr>
        <w:t>evidence that</w:t>
      </w:r>
      <w:r>
        <w:rPr>
          <w:rFonts w:cs="Arial"/>
        </w:rPr>
        <w:t xml:space="preserve"> the applicant is a “highly competent teacher”</w:t>
      </w:r>
      <w:r w:rsidR="00FB1C53">
        <w:rPr>
          <w:rFonts w:cs="Arial"/>
        </w:rPr>
        <w:t>.</w:t>
      </w:r>
      <w:r>
        <w:rPr>
          <w:rFonts w:cs="Arial"/>
        </w:rPr>
        <w:t xml:space="preserve">  Please outline below how you meet th</w:t>
      </w:r>
      <w:r w:rsidR="009B7634">
        <w:rPr>
          <w:rFonts w:cs="Arial"/>
        </w:rPr>
        <w:t>e</w:t>
      </w:r>
      <w:r>
        <w:rPr>
          <w:rFonts w:cs="Arial"/>
        </w:rPr>
        <w:t xml:space="preserve"> criteria with reference to the Teacher Standards, the particular role that you are fulfilling and the context within which you are working (please expand the </w:t>
      </w:r>
      <w:r w:rsidR="00F300CE">
        <w:rPr>
          <w:rFonts w:cs="Arial"/>
        </w:rPr>
        <w:t>table</w:t>
      </w:r>
      <w:r>
        <w:rPr>
          <w:rFonts w:cs="Arial"/>
        </w:rPr>
        <w:t xml:space="preserve"> if appropriate)</w:t>
      </w:r>
      <w:r w:rsidR="00305D5B" w:rsidRPr="0029565F">
        <w:rPr>
          <w:rFonts w:cs="Arial"/>
        </w:rPr>
        <w:t xml:space="preserve">:  </w:t>
      </w:r>
    </w:p>
    <w:p w14:paraId="5C884DF0" w14:textId="33DD3FFF" w:rsidR="00305D5B" w:rsidRPr="0029565F" w:rsidRDefault="00305D5B" w:rsidP="00305D5B">
      <w:pPr>
        <w:rPr>
          <w:rFonts w:cs="Arial"/>
        </w:rPr>
      </w:pPr>
    </w:p>
    <w:tbl>
      <w:tblPr>
        <w:tblStyle w:val="TableGrid"/>
        <w:tblW w:w="0" w:type="auto"/>
        <w:tblLook w:val="04A0" w:firstRow="1" w:lastRow="0" w:firstColumn="1" w:lastColumn="0" w:noHBand="0" w:noVBand="1"/>
      </w:tblPr>
      <w:tblGrid>
        <w:gridCol w:w="9629"/>
      </w:tblGrid>
      <w:tr w:rsidR="00F300CE" w14:paraId="7CF1A79E" w14:textId="77777777" w:rsidTr="00F300CE">
        <w:tc>
          <w:tcPr>
            <w:tcW w:w="9629" w:type="dxa"/>
          </w:tcPr>
          <w:p w14:paraId="2C7AC559" w14:textId="77777777" w:rsidR="00F300CE" w:rsidRDefault="00F300CE" w:rsidP="00305D5B">
            <w:pPr>
              <w:rPr>
                <w:rFonts w:cs="Arial"/>
              </w:rPr>
            </w:pPr>
          </w:p>
        </w:tc>
      </w:tr>
    </w:tbl>
    <w:p w14:paraId="7422E419" w14:textId="77777777" w:rsidR="000C5234" w:rsidRDefault="000C5234" w:rsidP="00305D5B">
      <w:pPr>
        <w:rPr>
          <w:rFonts w:cs="Arial"/>
        </w:rPr>
      </w:pPr>
    </w:p>
    <w:p w14:paraId="79959335" w14:textId="49ECDF18" w:rsidR="00305D5B" w:rsidRDefault="000C5234" w:rsidP="00305D5B">
      <w:pPr>
        <w:rPr>
          <w:rFonts w:cs="Arial"/>
        </w:rPr>
      </w:pPr>
      <w:r w:rsidRPr="00FA56CE">
        <w:rPr>
          <w:rFonts w:cs="Arial"/>
        </w:rPr>
        <w:t xml:space="preserve">Progression to the UPR requires evidence that the applicant’s achievements and contribution to the school are substantial.  Please outline below how your contribution has raised standards of teaching and learning not just in your own classroom but has made a significant wider contribution to school improvement which has had a clear impact on pupil progress across the school and on the effectiveness of colleagues (please expand the </w:t>
      </w:r>
      <w:r w:rsidR="00F300CE">
        <w:rPr>
          <w:rFonts w:cs="Arial"/>
        </w:rPr>
        <w:t>table</w:t>
      </w:r>
      <w:r w:rsidRPr="00FA56CE">
        <w:rPr>
          <w:rFonts w:cs="Arial"/>
        </w:rPr>
        <w:t xml:space="preserve"> as appropriate)</w:t>
      </w:r>
      <w:r w:rsidR="00305D5B" w:rsidRPr="00FA56CE">
        <w:rPr>
          <w:rFonts w:cs="Arial"/>
        </w:rPr>
        <w:t xml:space="preserve">: </w:t>
      </w:r>
    </w:p>
    <w:tbl>
      <w:tblPr>
        <w:tblStyle w:val="TableGrid"/>
        <w:tblW w:w="0" w:type="auto"/>
        <w:tblLook w:val="04A0" w:firstRow="1" w:lastRow="0" w:firstColumn="1" w:lastColumn="0" w:noHBand="0" w:noVBand="1"/>
      </w:tblPr>
      <w:tblGrid>
        <w:gridCol w:w="9629"/>
      </w:tblGrid>
      <w:tr w:rsidR="00F300CE" w14:paraId="1FD2D9B6" w14:textId="77777777" w:rsidTr="00F300CE">
        <w:tc>
          <w:tcPr>
            <w:tcW w:w="9629" w:type="dxa"/>
          </w:tcPr>
          <w:p w14:paraId="7174905B" w14:textId="77777777" w:rsidR="00F300CE" w:rsidRDefault="00F300CE" w:rsidP="00305D5B">
            <w:pPr>
              <w:rPr>
                <w:rFonts w:cs="Arial"/>
              </w:rPr>
            </w:pPr>
          </w:p>
        </w:tc>
      </w:tr>
    </w:tbl>
    <w:p w14:paraId="684A783A" w14:textId="77777777" w:rsidR="00F300CE" w:rsidRPr="00FA56CE" w:rsidRDefault="00F300CE" w:rsidP="00305D5B">
      <w:pPr>
        <w:rPr>
          <w:rFonts w:cs="Arial"/>
        </w:rPr>
      </w:pPr>
    </w:p>
    <w:p w14:paraId="6594FF17" w14:textId="5A1FC525" w:rsidR="00305D5B" w:rsidRPr="00FA56CE" w:rsidRDefault="00D43073" w:rsidP="00305D5B">
      <w:pPr>
        <w:rPr>
          <w:rFonts w:cs="Arial"/>
        </w:rPr>
      </w:pPr>
      <w:r w:rsidRPr="00FA56CE">
        <w:rPr>
          <w:rFonts w:cs="Arial"/>
        </w:rPr>
        <w:t xml:space="preserve">Progression to the UPR requires evidence that the applicant’s achievements and contribution to the school have been sustained.  You must be able to show that you have at least two consecutive successful appraisal reports in this school and have met your agreed objectives during this period.  Please use the space below to show how your teaching experience has grown over a sustained period of time and is consistently good to outstanding (please expand the </w:t>
      </w:r>
      <w:r w:rsidR="00F300CE">
        <w:rPr>
          <w:rFonts w:cs="Arial"/>
        </w:rPr>
        <w:t>table</w:t>
      </w:r>
      <w:r w:rsidRPr="00FA56CE">
        <w:rPr>
          <w:rFonts w:cs="Arial"/>
        </w:rPr>
        <w:t xml:space="preserve"> as appropriate)</w:t>
      </w:r>
      <w:r w:rsidR="00305D5B" w:rsidRPr="00FA56CE">
        <w:rPr>
          <w:rFonts w:cs="Arial"/>
        </w:rPr>
        <w:t>:</w:t>
      </w:r>
    </w:p>
    <w:p w14:paraId="4B49B70E" w14:textId="30FE0BB0" w:rsidR="00D43073" w:rsidRPr="0029565F" w:rsidRDefault="00D43073" w:rsidP="00305D5B">
      <w:pPr>
        <w:rPr>
          <w:rFonts w:cs="Arial"/>
        </w:rPr>
      </w:pPr>
    </w:p>
    <w:tbl>
      <w:tblPr>
        <w:tblStyle w:val="TableGrid"/>
        <w:tblW w:w="0" w:type="auto"/>
        <w:tblLook w:val="04A0" w:firstRow="1" w:lastRow="0" w:firstColumn="1" w:lastColumn="0" w:noHBand="0" w:noVBand="1"/>
      </w:tblPr>
      <w:tblGrid>
        <w:gridCol w:w="9629"/>
      </w:tblGrid>
      <w:tr w:rsidR="00F300CE" w14:paraId="01F7E9B2" w14:textId="77777777" w:rsidTr="00F300CE">
        <w:tc>
          <w:tcPr>
            <w:tcW w:w="9629" w:type="dxa"/>
          </w:tcPr>
          <w:p w14:paraId="201C8A72" w14:textId="77777777" w:rsidR="00F300CE" w:rsidRDefault="00F300CE" w:rsidP="00305D5B">
            <w:pPr>
              <w:rPr>
                <w:rFonts w:cs="Arial"/>
                <w:lang w:val="en"/>
              </w:rPr>
            </w:pPr>
          </w:p>
        </w:tc>
      </w:tr>
    </w:tbl>
    <w:p w14:paraId="66007471" w14:textId="77777777" w:rsidR="00305D5B" w:rsidRPr="0029565F" w:rsidRDefault="00305D5B" w:rsidP="00305D5B">
      <w:pPr>
        <w:rPr>
          <w:rFonts w:cs="Arial"/>
          <w:lang w:val="en"/>
        </w:rPr>
      </w:pPr>
    </w:p>
    <w:p w14:paraId="3A800385" w14:textId="77777777" w:rsidR="00305D5B" w:rsidRPr="0029565F" w:rsidRDefault="00305D5B" w:rsidP="00305D5B">
      <w:pPr>
        <w:rPr>
          <w:rFonts w:cs="Arial"/>
          <w:lang w:val="en"/>
        </w:rPr>
      </w:pPr>
      <w:r w:rsidRPr="0029565F">
        <w:rPr>
          <w:rFonts w:cs="Arial"/>
          <w:lang w:val="en"/>
        </w:rPr>
        <w:t>Please ensure your application also includes the results of your most recent annual appraisal, including recommendation on pay (or, where that information is not applicable or available, a statement and summary of evidence designed to demonstrate that you have met the assessment criteria).</w:t>
      </w:r>
      <w:r w:rsidR="00D43073">
        <w:rPr>
          <w:rFonts w:cs="Arial"/>
          <w:lang w:val="en"/>
        </w:rPr>
        <w:t xml:space="preserve">  Please attach any other written evidence that you have collated to support your application.</w:t>
      </w:r>
    </w:p>
    <w:p w14:paraId="5C13D171" w14:textId="3E01728E" w:rsidR="00305D5B" w:rsidRDefault="00305D5B" w:rsidP="00305D5B">
      <w:pPr>
        <w:shd w:val="clear" w:color="auto" w:fill="FFFFFF"/>
        <w:spacing w:before="100" w:beforeAutospacing="1" w:after="225"/>
        <w:rPr>
          <w:rFonts w:cs="Arial"/>
        </w:rPr>
      </w:pPr>
      <w:r w:rsidRPr="0029565F">
        <w:rPr>
          <w:rFonts w:cs="Arial"/>
          <w:lang w:val="en"/>
        </w:rPr>
        <w:t xml:space="preserve">A copy of the </w:t>
      </w:r>
      <w:hyperlink r:id="rId40" w:history="1">
        <w:r w:rsidRPr="00A35899">
          <w:rPr>
            <w:rStyle w:val="Hyperlink"/>
            <w:rFonts w:cs="Arial"/>
            <w:lang w:val="en"/>
          </w:rPr>
          <w:t>Teacher Standards</w:t>
        </w:r>
      </w:hyperlink>
      <w:r w:rsidRPr="0029565F">
        <w:rPr>
          <w:rFonts w:cs="Arial"/>
          <w:lang w:val="en"/>
        </w:rPr>
        <w:t xml:space="preserve"> is available, along with FAQs from the D</w:t>
      </w:r>
      <w:r w:rsidR="00A35899">
        <w:rPr>
          <w:rFonts w:cs="Arial"/>
          <w:lang w:val="en"/>
        </w:rPr>
        <w:t>fE</w:t>
      </w:r>
      <w:r w:rsidRPr="0029565F">
        <w:rPr>
          <w:rFonts w:cs="Arial"/>
          <w:lang w:val="en"/>
        </w:rPr>
        <w:t xml:space="preserve"> website</w:t>
      </w:r>
      <w:r w:rsidRPr="0029565F">
        <w:rPr>
          <w:rFonts w:cs="Arial"/>
        </w:rPr>
        <w:t>:</w:t>
      </w:r>
      <w:r w:rsidR="00A35899" w:rsidRPr="00A35899">
        <w:t xml:space="preserve"> </w:t>
      </w:r>
    </w:p>
    <w:p w14:paraId="7F56CADE" w14:textId="77777777" w:rsidR="004859AE" w:rsidRDefault="004859AE" w:rsidP="00305D5B">
      <w:pPr>
        <w:shd w:val="clear" w:color="auto" w:fill="FFFFFF"/>
        <w:spacing w:before="100" w:beforeAutospacing="1" w:after="225"/>
        <w:rPr>
          <w:rFonts w:cs="Arial"/>
        </w:rPr>
      </w:pPr>
    </w:p>
    <w:p w14:paraId="3FB1994A" w14:textId="77777777" w:rsidR="0016375C" w:rsidRDefault="0016375C" w:rsidP="00305D5B">
      <w:pPr>
        <w:shd w:val="clear" w:color="auto" w:fill="FFFFFF"/>
        <w:spacing w:before="100" w:beforeAutospacing="1" w:after="225"/>
        <w:rPr>
          <w:rFonts w:cs="Arial"/>
        </w:rPr>
      </w:pPr>
    </w:p>
    <w:p w14:paraId="1B52826D" w14:textId="77777777" w:rsidR="0016375C" w:rsidRPr="0029565F" w:rsidRDefault="0016375C" w:rsidP="00305D5B">
      <w:pPr>
        <w:shd w:val="clear" w:color="auto" w:fill="FFFFFF"/>
        <w:spacing w:before="100" w:beforeAutospacing="1" w:after="225"/>
        <w:rPr>
          <w:rFonts w:cs="Arial"/>
          <w:sz w:val="23"/>
          <w:szCs w:val="23"/>
        </w:rPr>
      </w:pPr>
    </w:p>
    <w:p w14:paraId="47626192" w14:textId="77777777" w:rsidR="000E1820" w:rsidRDefault="00305D5B" w:rsidP="00E1474C">
      <w:pPr>
        <w:pStyle w:val="Heading2"/>
        <w:keepLines/>
      </w:pPr>
      <w:bookmarkStart w:id="122" w:name="_Appendix_E_–"/>
      <w:bookmarkEnd w:id="122"/>
      <w:r w:rsidRPr="0029565F">
        <w:rPr>
          <w:color w:val="000000"/>
          <w:sz w:val="22"/>
          <w:szCs w:val="22"/>
          <w:lang w:val="en"/>
        </w:rPr>
        <w:br w:type="page"/>
      </w:r>
      <w:bookmarkStart w:id="123" w:name="_Toc54700393"/>
      <w:r w:rsidR="00BC1C34" w:rsidRPr="0029565F">
        <w:t xml:space="preserve">Appendix </w:t>
      </w:r>
      <w:r w:rsidRPr="0029565F">
        <w:t xml:space="preserve">E </w:t>
      </w:r>
      <w:r w:rsidR="00BC1C34" w:rsidRPr="0029565F">
        <w:t>–</w:t>
      </w:r>
      <w:r w:rsidR="00E16C58">
        <w:t xml:space="preserve"> </w:t>
      </w:r>
      <w:r w:rsidR="001E0165">
        <w:t xml:space="preserve">Managing </w:t>
      </w:r>
      <w:r w:rsidR="007E596E">
        <w:t xml:space="preserve">Appeals </w:t>
      </w:r>
      <w:r w:rsidR="00A12DDC">
        <w:t>against</w:t>
      </w:r>
      <w:r w:rsidR="001E0165">
        <w:t xml:space="preserve"> Pay Determination</w:t>
      </w:r>
      <w:bookmarkEnd w:id="123"/>
    </w:p>
    <w:p w14:paraId="2445ECF1" w14:textId="77777777" w:rsidR="001E0165" w:rsidRDefault="001E0165" w:rsidP="001E0165"/>
    <w:p w14:paraId="299F974B" w14:textId="1E489B9B" w:rsidR="001E0165" w:rsidRPr="001E0165" w:rsidRDefault="00A12DDC" w:rsidP="00D04003">
      <w:pPr>
        <w:spacing w:before="120"/>
      </w:pPr>
      <w:r>
        <w:t>Governing bo</w:t>
      </w:r>
      <w:r w:rsidR="00225B6C">
        <w:t>ards</w:t>
      </w:r>
      <w:r>
        <w:t xml:space="preserve"> are recommended to refer to </w:t>
      </w:r>
      <w:hyperlink r:id="rId41" w:history="1">
        <w:r w:rsidRPr="00A35899">
          <w:rPr>
            <w:rStyle w:val="Hyperlink"/>
          </w:rPr>
          <w:t>Implementing Your School’s Approach to Pay – DfE guidance</w:t>
        </w:r>
      </w:hyperlink>
      <w:r>
        <w:t xml:space="preserve"> </w:t>
      </w:r>
      <w:r w:rsidR="00775E50">
        <w:t>March 2019</w:t>
      </w:r>
      <w:r>
        <w:t xml:space="preserve">, pages </w:t>
      </w:r>
      <w:r w:rsidRPr="00A542DF">
        <w:t>2</w:t>
      </w:r>
      <w:r w:rsidR="00EF723C">
        <w:t>8</w:t>
      </w:r>
      <w:r w:rsidRPr="00482441">
        <w:t xml:space="preserve"> – </w:t>
      </w:r>
      <w:r w:rsidR="00EF723C">
        <w:t>31</w:t>
      </w:r>
      <w:r>
        <w:t xml:space="preserve"> for further guidance</w:t>
      </w:r>
      <w:r w:rsidR="006361B8">
        <w:t xml:space="preserve"> on managing appeals against pay determination</w:t>
      </w:r>
      <w:r>
        <w:t>.</w:t>
      </w:r>
      <w:r w:rsidR="00A35899">
        <w:t xml:space="preserve"> </w:t>
      </w:r>
    </w:p>
    <w:p w14:paraId="6A7BE57F" w14:textId="77777777" w:rsidR="00887F8A" w:rsidRPr="0029565F" w:rsidRDefault="00887F8A" w:rsidP="00D04003">
      <w:pPr>
        <w:spacing w:before="120"/>
        <w:rPr>
          <w:rFonts w:cs="Arial"/>
          <w:b/>
          <w:u w:val="single"/>
        </w:rPr>
      </w:pPr>
      <w:r>
        <w:rPr>
          <w:rFonts w:cs="Arial"/>
          <w:b/>
          <w:u w:val="single"/>
        </w:rPr>
        <w:t>Pay Decision</w:t>
      </w:r>
    </w:p>
    <w:p w14:paraId="2E201D64" w14:textId="77777777" w:rsidR="00887F8A" w:rsidRDefault="00887F8A" w:rsidP="00606949">
      <w:pPr>
        <w:pStyle w:val="ListParagraph"/>
        <w:numPr>
          <w:ilvl w:val="0"/>
          <w:numId w:val="24"/>
        </w:numPr>
        <w:spacing w:before="120" w:after="120" w:line="240" w:lineRule="auto"/>
        <w:contextualSpacing w:val="0"/>
        <w:rPr>
          <w:rFonts w:ascii="Arial" w:hAnsi="Arial" w:cs="Arial"/>
          <w:sz w:val="24"/>
          <w:szCs w:val="24"/>
        </w:rPr>
      </w:pPr>
      <w:r w:rsidRPr="0029565F">
        <w:rPr>
          <w:rFonts w:ascii="Arial" w:hAnsi="Arial" w:cs="Arial"/>
          <w:sz w:val="24"/>
          <w:szCs w:val="24"/>
        </w:rPr>
        <w:t xml:space="preserve">At the Appraisal meeting held between 1 September and 31 October, the Appraiser makes a recommendation on pay and writes this on the Appraisal Statement, a copy of which is given to the teacher. </w:t>
      </w:r>
    </w:p>
    <w:p w14:paraId="21146085" w14:textId="77777777" w:rsidR="004A02B6" w:rsidRDefault="004A02B6" w:rsidP="00606949">
      <w:pPr>
        <w:pStyle w:val="ListParagraph"/>
        <w:numPr>
          <w:ilvl w:val="0"/>
          <w:numId w:val="24"/>
        </w:numPr>
        <w:spacing w:before="120" w:after="120" w:line="240" w:lineRule="auto"/>
        <w:contextualSpacing w:val="0"/>
        <w:rPr>
          <w:rFonts w:ascii="Arial" w:hAnsi="Arial" w:cs="Arial"/>
          <w:sz w:val="24"/>
          <w:szCs w:val="24"/>
        </w:rPr>
      </w:pPr>
      <w:r w:rsidRPr="004A02B6">
        <w:rPr>
          <w:rFonts w:ascii="Arial" w:hAnsi="Arial" w:cs="Arial"/>
          <w:sz w:val="24"/>
          <w:szCs w:val="24"/>
        </w:rPr>
        <w:t>It is the intention that the Appeals Procedure will be dealt with promptly, thoroughly and impartially.</w:t>
      </w:r>
    </w:p>
    <w:p w14:paraId="25C783F8" w14:textId="77777777" w:rsidR="00887F8A" w:rsidRPr="00E1474C" w:rsidRDefault="00887F8A" w:rsidP="00D04003">
      <w:pPr>
        <w:pStyle w:val="ListParagraph"/>
        <w:spacing w:before="120" w:after="120" w:line="240" w:lineRule="auto"/>
        <w:ind w:left="0"/>
        <w:contextualSpacing w:val="0"/>
        <w:rPr>
          <w:rFonts w:ascii="Arial" w:hAnsi="Arial" w:cs="Arial"/>
          <w:b/>
          <w:sz w:val="24"/>
          <w:szCs w:val="24"/>
        </w:rPr>
      </w:pPr>
      <w:r w:rsidRPr="00E1474C">
        <w:rPr>
          <w:rFonts w:ascii="Arial" w:hAnsi="Arial" w:cs="Arial"/>
          <w:b/>
          <w:sz w:val="24"/>
          <w:szCs w:val="24"/>
        </w:rPr>
        <w:t>Stage 1 – Informal discussion with the appraiser prior to confirmation of pay recommendation by Pay Committee</w:t>
      </w:r>
    </w:p>
    <w:p w14:paraId="721E76AA" w14:textId="77777777" w:rsidR="00483903" w:rsidRPr="00D04003" w:rsidRDefault="00887F8A" w:rsidP="00606949">
      <w:pPr>
        <w:pStyle w:val="ListParagraph"/>
        <w:numPr>
          <w:ilvl w:val="0"/>
          <w:numId w:val="24"/>
        </w:numPr>
        <w:spacing w:before="120" w:after="120" w:line="240" w:lineRule="auto"/>
        <w:contextualSpacing w:val="0"/>
        <w:rPr>
          <w:rFonts w:ascii="Arial" w:hAnsi="Arial" w:cs="Arial"/>
          <w:sz w:val="24"/>
          <w:szCs w:val="24"/>
        </w:rPr>
      </w:pPr>
      <w:r w:rsidRPr="0029565F">
        <w:rPr>
          <w:rFonts w:ascii="Arial" w:hAnsi="Arial" w:cs="Arial"/>
          <w:sz w:val="24"/>
          <w:szCs w:val="24"/>
        </w:rPr>
        <w:t>If the teacher disagrees with the Appraiser’s written recommendation, they should discuss this with the Appraiser</w:t>
      </w:r>
      <w:r>
        <w:rPr>
          <w:rFonts w:ascii="Arial" w:hAnsi="Arial" w:cs="Arial"/>
          <w:sz w:val="24"/>
          <w:szCs w:val="24"/>
        </w:rPr>
        <w:t xml:space="preserve"> on an informal basis</w:t>
      </w:r>
      <w:r w:rsidRPr="0029565F">
        <w:rPr>
          <w:rFonts w:ascii="Arial" w:hAnsi="Arial" w:cs="Arial"/>
          <w:sz w:val="24"/>
          <w:szCs w:val="24"/>
        </w:rPr>
        <w:t xml:space="preserve">. </w:t>
      </w:r>
      <w:r w:rsidR="004A02B6">
        <w:rPr>
          <w:rFonts w:ascii="Arial" w:hAnsi="Arial" w:cs="Arial"/>
          <w:sz w:val="24"/>
          <w:szCs w:val="24"/>
        </w:rPr>
        <w:t xml:space="preserve">This stage in the process will help to ensure that pay decisions and pay policies are seen as transparent and fair.  The opportunity to discuss a pay decision before it </w:t>
      </w:r>
      <w:r w:rsidR="004C3ED0">
        <w:rPr>
          <w:rFonts w:ascii="Arial" w:hAnsi="Arial" w:cs="Arial"/>
          <w:sz w:val="24"/>
          <w:szCs w:val="24"/>
        </w:rPr>
        <w:t xml:space="preserve">is </w:t>
      </w:r>
      <w:r w:rsidR="004A02B6">
        <w:rPr>
          <w:rFonts w:ascii="Arial" w:hAnsi="Arial" w:cs="Arial"/>
          <w:sz w:val="24"/>
          <w:szCs w:val="24"/>
        </w:rPr>
        <w:t>made formally may also mitigate the need for the more formal stages two and three</w:t>
      </w:r>
      <w:r w:rsidR="004C3ED0">
        <w:rPr>
          <w:rFonts w:ascii="Arial" w:hAnsi="Arial" w:cs="Arial"/>
          <w:sz w:val="24"/>
          <w:szCs w:val="24"/>
        </w:rPr>
        <w:t xml:space="preserve"> of the procedure</w:t>
      </w:r>
      <w:r w:rsidR="004A02B6">
        <w:rPr>
          <w:rFonts w:ascii="Arial" w:hAnsi="Arial" w:cs="Arial"/>
          <w:sz w:val="24"/>
          <w:szCs w:val="24"/>
        </w:rPr>
        <w:t>.</w:t>
      </w:r>
    </w:p>
    <w:p w14:paraId="15BB5318" w14:textId="77777777" w:rsidR="004A02B6" w:rsidRPr="00D04003" w:rsidRDefault="00887F8A" w:rsidP="00606949">
      <w:pPr>
        <w:pStyle w:val="ListParagraph"/>
        <w:numPr>
          <w:ilvl w:val="0"/>
          <w:numId w:val="24"/>
        </w:numPr>
        <w:spacing w:before="120" w:after="120" w:line="240" w:lineRule="auto"/>
        <w:contextualSpacing w:val="0"/>
        <w:rPr>
          <w:rFonts w:ascii="Arial" w:hAnsi="Arial" w:cs="Arial"/>
          <w:sz w:val="24"/>
          <w:szCs w:val="24"/>
        </w:rPr>
      </w:pPr>
      <w:r w:rsidRPr="0029565F">
        <w:rPr>
          <w:rFonts w:ascii="Arial" w:hAnsi="Arial" w:cs="Arial"/>
          <w:sz w:val="24"/>
          <w:szCs w:val="24"/>
        </w:rPr>
        <w:t>If following full exploration and discussion of the teacher’s concerns, the outcome</w:t>
      </w:r>
      <w:r w:rsidR="004C3ED0">
        <w:rPr>
          <w:rFonts w:ascii="Arial" w:hAnsi="Arial" w:cs="Arial"/>
          <w:sz w:val="24"/>
          <w:szCs w:val="24"/>
        </w:rPr>
        <w:t xml:space="preserve"> </w:t>
      </w:r>
      <w:r w:rsidR="004A02B6">
        <w:rPr>
          <w:rFonts w:ascii="Arial" w:hAnsi="Arial" w:cs="Arial"/>
          <w:sz w:val="24"/>
          <w:szCs w:val="24"/>
        </w:rPr>
        <w:t xml:space="preserve">of the informal </w:t>
      </w:r>
      <w:r w:rsidR="00707ECD">
        <w:rPr>
          <w:rFonts w:ascii="Arial" w:hAnsi="Arial" w:cs="Arial"/>
          <w:sz w:val="24"/>
          <w:szCs w:val="24"/>
        </w:rPr>
        <w:t xml:space="preserve">discussion </w:t>
      </w:r>
      <w:r w:rsidR="00707ECD" w:rsidRPr="0029565F">
        <w:rPr>
          <w:rFonts w:ascii="Arial" w:hAnsi="Arial" w:cs="Arial"/>
          <w:sz w:val="24"/>
          <w:szCs w:val="24"/>
        </w:rPr>
        <w:t>is</w:t>
      </w:r>
      <w:r w:rsidRPr="0029565F">
        <w:rPr>
          <w:rFonts w:ascii="Arial" w:hAnsi="Arial" w:cs="Arial"/>
          <w:sz w:val="24"/>
          <w:szCs w:val="24"/>
        </w:rPr>
        <w:t xml:space="preserve"> that the Appraiser has not changed his/her recommendation this should be noted on the Appraisal Form. </w:t>
      </w:r>
    </w:p>
    <w:p w14:paraId="4E6F7298" w14:textId="7F75C4A4" w:rsidR="00AE395D" w:rsidRPr="00D04003" w:rsidRDefault="00887F8A" w:rsidP="00606949">
      <w:pPr>
        <w:pStyle w:val="ListParagraph"/>
        <w:numPr>
          <w:ilvl w:val="0"/>
          <w:numId w:val="24"/>
        </w:numPr>
        <w:spacing w:before="120" w:after="120" w:line="240" w:lineRule="auto"/>
        <w:contextualSpacing w:val="0"/>
        <w:rPr>
          <w:rFonts w:ascii="Arial" w:hAnsi="Arial" w:cs="Arial"/>
          <w:sz w:val="24"/>
          <w:szCs w:val="24"/>
        </w:rPr>
      </w:pPr>
      <w:r w:rsidRPr="0029565F">
        <w:rPr>
          <w:rFonts w:ascii="Arial" w:hAnsi="Arial" w:cs="Arial"/>
          <w:sz w:val="24"/>
          <w:szCs w:val="24"/>
        </w:rPr>
        <w:t xml:space="preserve">The Appraisal Form will then be passed to the </w:t>
      </w:r>
      <w:r w:rsidR="00133F0E">
        <w:rPr>
          <w:rFonts w:ascii="Arial" w:hAnsi="Arial" w:cs="Arial"/>
          <w:sz w:val="24"/>
          <w:szCs w:val="24"/>
        </w:rPr>
        <w:t xml:space="preserve">Executive </w:t>
      </w:r>
      <w:r w:rsidRPr="0029565F">
        <w:rPr>
          <w:rFonts w:ascii="Arial" w:hAnsi="Arial" w:cs="Arial"/>
          <w:sz w:val="24"/>
          <w:szCs w:val="24"/>
        </w:rPr>
        <w:t xml:space="preserve">Headteacher for an assessment of the recommendation. The </w:t>
      </w:r>
      <w:r w:rsidR="00133F0E">
        <w:rPr>
          <w:rFonts w:ascii="Arial" w:hAnsi="Arial" w:cs="Arial"/>
          <w:sz w:val="24"/>
          <w:szCs w:val="24"/>
        </w:rPr>
        <w:t xml:space="preserve">Executive </w:t>
      </w:r>
      <w:r w:rsidRPr="0029565F">
        <w:rPr>
          <w:rFonts w:ascii="Arial" w:hAnsi="Arial" w:cs="Arial"/>
          <w:sz w:val="24"/>
          <w:szCs w:val="24"/>
        </w:rPr>
        <w:t xml:space="preserve">Headteacher will then pass the Appraisal Form to the Pay Committee for a decision on the pay recommendation. </w:t>
      </w:r>
    </w:p>
    <w:p w14:paraId="248C17DF" w14:textId="77777777" w:rsidR="00AE395D" w:rsidRPr="00FA56CE" w:rsidRDefault="00AE395D" w:rsidP="00606949">
      <w:pPr>
        <w:pStyle w:val="ListParagraph"/>
        <w:numPr>
          <w:ilvl w:val="0"/>
          <w:numId w:val="24"/>
        </w:numPr>
        <w:spacing w:before="120" w:after="120" w:line="240" w:lineRule="auto"/>
        <w:contextualSpacing w:val="0"/>
        <w:rPr>
          <w:rFonts w:ascii="Arial" w:hAnsi="Arial" w:cs="Arial"/>
          <w:sz w:val="24"/>
          <w:szCs w:val="24"/>
        </w:rPr>
      </w:pPr>
      <w:r w:rsidRPr="00FA56CE">
        <w:rPr>
          <w:rFonts w:ascii="Arial" w:hAnsi="Arial" w:cs="Arial"/>
          <w:sz w:val="24"/>
          <w:szCs w:val="24"/>
        </w:rPr>
        <w:t xml:space="preserve">If, having had an informal discussion with the person making the recommendation, the teacher believes that an incorrect recommendation has been </w:t>
      </w:r>
      <w:r w:rsidR="00707ECD" w:rsidRPr="00FA56CE">
        <w:rPr>
          <w:rFonts w:ascii="Arial" w:hAnsi="Arial" w:cs="Arial"/>
          <w:sz w:val="24"/>
          <w:szCs w:val="24"/>
        </w:rPr>
        <w:t>made;</w:t>
      </w:r>
      <w:r w:rsidRPr="00FA56CE">
        <w:rPr>
          <w:rFonts w:ascii="Arial" w:hAnsi="Arial" w:cs="Arial"/>
          <w:sz w:val="24"/>
          <w:szCs w:val="24"/>
        </w:rPr>
        <w:t xml:space="preserve"> he/she may make representation to the Pay Committee prior to them making the </w:t>
      </w:r>
      <w:r w:rsidR="00225B6C">
        <w:rPr>
          <w:rFonts w:ascii="Arial" w:hAnsi="Arial" w:cs="Arial"/>
          <w:sz w:val="24"/>
          <w:szCs w:val="24"/>
        </w:rPr>
        <w:t xml:space="preserve">initial </w:t>
      </w:r>
      <w:r w:rsidRPr="00FA56CE">
        <w:rPr>
          <w:rFonts w:ascii="Arial" w:hAnsi="Arial" w:cs="Arial"/>
          <w:sz w:val="24"/>
          <w:szCs w:val="24"/>
        </w:rPr>
        <w:t>pay determination.</w:t>
      </w:r>
      <w:r w:rsidR="005102D8">
        <w:rPr>
          <w:rFonts w:ascii="Arial" w:hAnsi="Arial" w:cs="Arial"/>
          <w:sz w:val="24"/>
          <w:szCs w:val="24"/>
        </w:rPr>
        <w:t xml:space="preserve">  It is recommended that a deadline is published for the submission of an appeal so that appropriate planning can be put in place for the organisation of the Pay Committee.</w:t>
      </w:r>
    </w:p>
    <w:p w14:paraId="2D7C9A02" w14:textId="77777777" w:rsidR="004A02B6" w:rsidRPr="00E1474C" w:rsidRDefault="004A02B6" w:rsidP="00D04003">
      <w:pPr>
        <w:spacing w:before="120"/>
        <w:rPr>
          <w:b/>
        </w:rPr>
      </w:pPr>
      <w:r w:rsidRPr="00E1474C">
        <w:rPr>
          <w:b/>
        </w:rPr>
        <w:t xml:space="preserve">Stage </w:t>
      </w:r>
      <w:r w:rsidR="00BA16E1">
        <w:rPr>
          <w:b/>
        </w:rPr>
        <w:t>2</w:t>
      </w:r>
      <w:r w:rsidRPr="00E1474C">
        <w:rPr>
          <w:b/>
        </w:rPr>
        <w:t xml:space="preserve"> - a formal representation to the Pay Committee making the pay determination</w:t>
      </w:r>
    </w:p>
    <w:p w14:paraId="202D09F5" w14:textId="262CF267" w:rsidR="00FD37B4" w:rsidRPr="00D04003" w:rsidRDefault="004A02B6" w:rsidP="00606949">
      <w:pPr>
        <w:numPr>
          <w:ilvl w:val="0"/>
          <w:numId w:val="27"/>
        </w:numPr>
        <w:spacing w:before="120"/>
      </w:pPr>
      <w:r w:rsidRPr="00FA56CE">
        <w:t>The hearing will be chaired by the Chair of the Pay Committee</w:t>
      </w:r>
      <w:r w:rsidR="00AE395D" w:rsidRPr="00FA56CE">
        <w:t xml:space="preserve">, and will take place </w:t>
      </w:r>
      <w:r w:rsidR="00AE395D" w:rsidRPr="00FA56CE">
        <w:rPr>
          <w:b/>
          <w:u w:val="single"/>
        </w:rPr>
        <w:t>prior</w:t>
      </w:r>
      <w:r w:rsidR="00AE395D" w:rsidRPr="00FA56CE">
        <w:t xml:space="preserve"> to the determination of the pay recommendation (this should be at the actual meeting of the Pay Committee, therefore time will need to be allowed on the agenda for such a hearing to take place)</w:t>
      </w:r>
      <w:r w:rsidRPr="00FA56CE">
        <w:t>.</w:t>
      </w:r>
      <w:r>
        <w:t xml:space="preserve"> The teacher has the right to be accompanied at the hearing by a trade union representative or work colleague. The </w:t>
      </w:r>
      <w:r w:rsidR="00133F0E">
        <w:t xml:space="preserve">Executive </w:t>
      </w:r>
      <w:r>
        <w:t>Headteacher will be present to provide information on their assessment of the recommendation. A written decision will be given to the teacher following the hearing within 10 working days.</w:t>
      </w:r>
    </w:p>
    <w:p w14:paraId="7AE3BD90" w14:textId="77777777" w:rsidR="004A02B6" w:rsidRDefault="008F29CA" w:rsidP="00D04003">
      <w:pPr>
        <w:spacing w:before="120"/>
        <w:rPr>
          <w:rFonts w:cs="Arial"/>
          <w:b/>
        </w:rPr>
      </w:pPr>
      <w:r>
        <w:rPr>
          <w:rFonts w:cs="Arial"/>
          <w:b/>
        </w:rPr>
        <w:t xml:space="preserve">Stage </w:t>
      </w:r>
      <w:r w:rsidR="00BA16E1">
        <w:rPr>
          <w:rFonts w:cs="Arial"/>
          <w:b/>
        </w:rPr>
        <w:t>3</w:t>
      </w:r>
      <w:r>
        <w:rPr>
          <w:rFonts w:cs="Arial"/>
          <w:b/>
        </w:rPr>
        <w:t xml:space="preserve"> – a formal </w:t>
      </w:r>
      <w:r w:rsidR="004A02B6">
        <w:rPr>
          <w:rFonts w:cs="Arial"/>
          <w:b/>
        </w:rPr>
        <w:t>hearing with an appeals panel of governors</w:t>
      </w:r>
    </w:p>
    <w:p w14:paraId="0DEC3B0C" w14:textId="77777777" w:rsidR="00517E37" w:rsidRDefault="004A02B6" w:rsidP="00606949">
      <w:pPr>
        <w:numPr>
          <w:ilvl w:val="0"/>
          <w:numId w:val="27"/>
        </w:numPr>
        <w:spacing w:before="120"/>
        <w:rPr>
          <w:rFonts w:cs="Arial"/>
        </w:rPr>
      </w:pPr>
      <w:r w:rsidRPr="00E1474C">
        <w:rPr>
          <w:rFonts w:cs="Arial"/>
        </w:rPr>
        <w:t xml:space="preserve">If the teacher disagrees with the outcome of the hearing they should write to the Chair of the Pay Committee within 10 working days of receipt of the written outcome of the hearing. </w:t>
      </w:r>
    </w:p>
    <w:p w14:paraId="3AA1E70B" w14:textId="09E83FB8" w:rsidR="004A02B6" w:rsidRPr="00D04003" w:rsidRDefault="004A02B6" w:rsidP="00606949">
      <w:pPr>
        <w:numPr>
          <w:ilvl w:val="0"/>
          <w:numId w:val="27"/>
        </w:numPr>
        <w:spacing w:before="120"/>
        <w:rPr>
          <w:rFonts w:cs="Arial"/>
        </w:rPr>
      </w:pPr>
      <w:r w:rsidRPr="00E1474C">
        <w:rPr>
          <w:rFonts w:cs="Arial"/>
        </w:rPr>
        <w:t xml:space="preserve">A Stage </w:t>
      </w:r>
      <w:r w:rsidR="00517E37">
        <w:rPr>
          <w:rFonts w:cs="Arial"/>
        </w:rPr>
        <w:t>three</w:t>
      </w:r>
      <w:r w:rsidRPr="00E1474C">
        <w:rPr>
          <w:rFonts w:cs="Arial"/>
        </w:rPr>
        <w:t xml:space="preserve"> </w:t>
      </w:r>
      <w:r w:rsidR="00517E37">
        <w:rPr>
          <w:rFonts w:cs="Arial"/>
        </w:rPr>
        <w:t>a</w:t>
      </w:r>
      <w:r w:rsidRPr="00E1474C">
        <w:rPr>
          <w:rFonts w:cs="Arial"/>
        </w:rPr>
        <w:t xml:space="preserve">ppeal will then be arranged. A </w:t>
      </w:r>
      <w:r w:rsidR="00225B6C">
        <w:rPr>
          <w:rFonts w:cs="Arial"/>
        </w:rPr>
        <w:t>p</w:t>
      </w:r>
      <w:r w:rsidRPr="00E1474C">
        <w:rPr>
          <w:rFonts w:cs="Arial"/>
        </w:rPr>
        <w:t xml:space="preserve">anel of </w:t>
      </w:r>
      <w:r w:rsidR="00225B6C">
        <w:rPr>
          <w:rFonts w:cs="Arial"/>
        </w:rPr>
        <w:t>g</w:t>
      </w:r>
      <w:r w:rsidRPr="00E1474C">
        <w:rPr>
          <w:rFonts w:cs="Arial"/>
        </w:rPr>
        <w:t xml:space="preserve">overnors not connected to the original pay decision will hear the appeal. The teacher has the right to be accompanied at the appeal hearing by a trade union representative or work colleague. The Chair of the Pay Committee will be in attendance to present their decision. The </w:t>
      </w:r>
      <w:r w:rsidR="00133F0E">
        <w:rPr>
          <w:rFonts w:cs="Arial"/>
        </w:rPr>
        <w:t xml:space="preserve">Executive </w:t>
      </w:r>
      <w:r w:rsidRPr="00E1474C">
        <w:rPr>
          <w:rFonts w:cs="Arial"/>
        </w:rPr>
        <w:t>Headteacher will also be present to provide information on their assessment of the recommendation. The decision will be put in writing within 1</w:t>
      </w:r>
      <w:r w:rsidR="009F160F">
        <w:rPr>
          <w:rFonts w:cs="Arial"/>
        </w:rPr>
        <w:t xml:space="preserve">0 working days to the teacher. </w:t>
      </w:r>
      <w:r w:rsidRPr="00E1474C">
        <w:rPr>
          <w:rFonts w:cs="Arial"/>
        </w:rPr>
        <w:t xml:space="preserve">The decision of the Appeal Panel is final and there is no further right of appeal.  </w:t>
      </w:r>
    </w:p>
    <w:p w14:paraId="702966DC" w14:textId="77777777" w:rsidR="00517E37" w:rsidRDefault="00517E37" w:rsidP="00D04003">
      <w:pPr>
        <w:spacing w:before="120"/>
        <w:ind w:left="360"/>
        <w:rPr>
          <w:rFonts w:cs="Arial"/>
          <w:b/>
        </w:rPr>
      </w:pPr>
      <w:r w:rsidRPr="00517E37">
        <w:rPr>
          <w:rFonts w:cs="Arial"/>
          <w:b/>
        </w:rPr>
        <w:t>We would expect all decisions, discussions and hearings to take place within a reasonable period of time taking into account the availability of all parties and school term dates.</w:t>
      </w:r>
    </w:p>
    <w:p w14:paraId="7F5C0C44" w14:textId="77777777" w:rsidR="001F5374" w:rsidRPr="0029565F" w:rsidRDefault="00517E37" w:rsidP="00D04003">
      <w:pPr>
        <w:spacing w:before="120"/>
        <w:ind w:left="720"/>
      </w:pPr>
      <w:r>
        <w:br w:type="page"/>
      </w:r>
    </w:p>
    <w:p w14:paraId="094F80C5" w14:textId="3D852F4B" w:rsidR="008156F3" w:rsidRDefault="00370896" w:rsidP="008A5250">
      <w:pPr>
        <w:pStyle w:val="Heading2"/>
        <w:keepLines/>
      </w:pPr>
      <w:bookmarkStart w:id="124" w:name="_Appendix_F_-"/>
      <w:bookmarkStart w:id="125" w:name="_Appendix_G_–"/>
      <w:bookmarkStart w:id="126" w:name="_Appendix_H_-"/>
      <w:bookmarkStart w:id="127" w:name="_Appendix_1_Model_1"/>
      <w:bookmarkStart w:id="128" w:name="_Appendix_I_-"/>
      <w:bookmarkStart w:id="129" w:name="_Appendix_J_–"/>
      <w:bookmarkStart w:id="130" w:name="_Appendix_F_–"/>
      <w:bookmarkStart w:id="131" w:name="_Toc54700394"/>
      <w:bookmarkEnd w:id="124"/>
      <w:bookmarkEnd w:id="125"/>
      <w:bookmarkEnd w:id="126"/>
      <w:bookmarkEnd w:id="127"/>
      <w:bookmarkEnd w:id="128"/>
      <w:bookmarkEnd w:id="129"/>
      <w:bookmarkEnd w:id="130"/>
      <w:r w:rsidRPr="0029565F">
        <w:t xml:space="preserve">Appendix F </w:t>
      </w:r>
      <w:r w:rsidR="008144D8" w:rsidRPr="0029565F">
        <w:t>–</w:t>
      </w:r>
      <w:r w:rsidRPr="0029565F">
        <w:t xml:space="preserve"> </w:t>
      </w:r>
      <w:r w:rsidR="00867542" w:rsidRPr="0029565F">
        <w:t>Leadership pay range</w:t>
      </w:r>
      <w:r w:rsidR="00867542" w:rsidRPr="0029565F" w:rsidDel="00867542">
        <w:t xml:space="preserve"> </w:t>
      </w:r>
      <w:r w:rsidR="00893CBB">
        <w:t>20</w:t>
      </w:r>
      <w:r w:rsidR="00D05086">
        <w:t>20-21</w:t>
      </w:r>
      <w:bookmarkEnd w:id="131"/>
    </w:p>
    <w:p w14:paraId="4A0BC6FB" w14:textId="77777777" w:rsidR="00981A02" w:rsidRDefault="00981A02" w:rsidP="00601B69">
      <w:pPr>
        <w:rPr>
          <w:rFonts w:cs="Arial"/>
          <w:color w:val="000000"/>
        </w:rPr>
      </w:pPr>
      <w:r>
        <w:rPr>
          <w:rFonts w:cs="Arial"/>
          <w:color w:val="000000"/>
        </w:rPr>
        <w:t>Leadership pay range</w:t>
      </w:r>
      <w:r w:rsidR="00601B69" w:rsidRPr="00E1474C">
        <w:rPr>
          <w:rFonts w:cs="Arial"/>
          <w:color w:val="000000"/>
        </w:rPr>
        <w:t xml:space="preserve"> </w:t>
      </w:r>
      <w:r w:rsidR="00601B69">
        <w:rPr>
          <w:rFonts w:cs="Arial"/>
          <w:color w:val="000000"/>
        </w:rPr>
        <w:t>nominal</w:t>
      </w:r>
      <w:r w:rsidR="00601B69" w:rsidRPr="00E1474C">
        <w:rPr>
          <w:rFonts w:cs="Arial"/>
          <w:color w:val="000000"/>
        </w:rPr>
        <w:t xml:space="preserve"> reference points</w:t>
      </w:r>
      <w:r w:rsidR="007D2490">
        <w:rPr>
          <w:rFonts w:cs="Arial"/>
          <w:color w:val="000000"/>
        </w:rPr>
        <w:t xml:space="preserve"> and </w:t>
      </w:r>
      <w:r w:rsidR="00080FEE">
        <w:rPr>
          <w:rFonts w:cs="Arial"/>
          <w:color w:val="000000"/>
        </w:rPr>
        <w:t>Headteacher group ranges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Leadership pay range nominal reference points and Headteacher group ranges"/>
        <w:tblDescription w:val="Table of nominal reference points on the Leadership scale, and headteacher group ranges. The group ranges are also detailed beneath this table, and a plain copy of the leadership pay scale is available on the salary scale page of the East Sussex County Council website."/>
      </w:tblPr>
      <w:tblGrid>
        <w:gridCol w:w="809"/>
        <w:gridCol w:w="1220"/>
        <w:gridCol w:w="264"/>
        <w:gridCol w:w="880"/>
        <w:gridCol w:w="880"/>
        <w:gridCol w:w="880"/>
        <w:gridCol w:w="880"/>
        <w:gridCol w:w="880"/>
        <w:gridCol w:w="937"/>
        <w:gridCol w:w="978"/>
        <w:gridCol w:w="1026"/>
      </w:tblGrid>
      <w:tr w:rsidR="0051417E" w:rsidRPr="007D2490" w14:paraId="284A2EBD"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0DD549D" w14:textId="77777777" w:rsidR="000E30E4" w:rsidRPr="007D2490" w:rsidRDefault="000E30E4" w:rsidP="00981A02">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L1</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603E52E" w14:textId="04B71CDA" w:rsidR="000E30E4" w:rsidRPr="007D2490" w:rsidRDefault="000E30E4" w:rsidP="00080FEE">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51417E">
              <w:rPr>
                <w:rFonts w:asciiTheme="minorHAnsi" w:hAnsiTheme="minorHAnsi" w:cstheme="minorHAnsi"/>
                <w:color w:val="000000"/>
                <w:sz w:val="20"/>
                <w:szCs w:val="20"/>
              </w:rPr>
              <w:t>42,195</w:t>
            </w:r>
          </w:p>
        </w:tc>
        <w:tc>
          <w:tcPr>
            <w:tcW w:w="270" w:type="dxa"/>
            <w:tcBorders>
              <w:top w:val="nil"/>
              <w:left w:val="single" w:sz="4" w:space="0" w:color="BFBFBF" w:themeColor="background1" w:themeShade="BF"/>
              <w:bottom w:val="nil"/>
              <w:right w:val="nil"/>
            </w:tcBorders>
          </w:tcPr>
          <w:p w14:paraId="5E7BB687"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4B164850"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30E0F4CA"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411BA70D"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5CE46401"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40DD62BD"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0821C77A"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12EE4C7E" w14:textId="77777777" w:rsidR="000E30E4" w:rsidRPr="007D2490" w:rsidRDefault="000E30E4" w:rsidP="00981A02">
            <w:pPr>
              <w:spacing w:after="0"/>
              <w:rPr>
                <w:rFonts w:asciiTheme="minorHAnsi" w:hAnsiTheme="minorHAnsi" w:cstheme="minorHAnsi"/>
                <w:color w:val="000000"/>
                <w:sz w:val="20"/>
                <w:szCs w:val="20"/>
              </w:rPr>
            </w:pPr>
          </w:p>
        </w:tc>
        <w:tc>
          <w:tcPr>
            <w:tcW w:w="1033" w:type="dxa"/>
            <w:tcBorders>
              <w:top w:val="nil"/>
              <w:left w:val="nil"/>
              <w:bottom w:val="nil"/>
              <w:right w:val="nil"/>
            </w:tcBorders>
          </w:tcPr>
          <w:p w14:paraId="5AF947F3" w14:textId="77777777" w:rsidR="000E30E4" w:rsidRPr="007D2490" w:rsidRDefault="000E30E4" w:rsidP="00981A02">
            <w:pPr>
              <w:spacing w:after="0"/>
              <w:rPr>
                <w:rFonts w:asciiTheme="minorHAnsi" w:hAnsiTheme="minorHAnsi" w:cstheme="minorHAnsi"/>
                <w:color w:val="000000"/>
                <w:sz w:val="20"/>
                <w:szCs w:val="20"/>
              </w:rPr>
            </w:pPr>
          </w:p>
        </w:tc>
      </w:tr>
      <w:tr w:rsidR="0051417E" w:rsidRPr="007D2490" w14:paraId="5E2710DA"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0EFCCFF" w14:textId="77777777" w:rsidR="000E30E4" w:rsidRPr="007D2490" w:rsidRDefault="000E30E4" w:rsidP="00981A02">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L2</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A981F4A" w14:textId="7FDA98AE" w:rsidR="000E30E4" w:rsidRPr="007D2490" w:rsidRDefault="000E30E4" w:rsidP="00080FEE">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51417E">
              <w:rPr>
                <w:rFonts w:asciiTheme="minorHAnsi" w:hAnsiTheme="minorHAnsi" w:cstheme="minorHAnsi"/>
                <w:color w:val="000000"/>
                <w:sz w:val="20"/>
                <w:szCs w:val="20"/>
              </w:rPr>
              <w:t>43,251</w:t>
            </w:r>
          </w:p>
        </w:tc>
        <w:tc>
          <w:tcPr>
            <w:tcW w:w="270" w:type="dxa"/>
            <w:tcBorders>
              <w:top w:val="nil"/>
              <w:left w:val="single" w:sz="4" w:space="0" w:color="BFBFBF" w:themeColor="background1" w:themeShade="BF"/>
              <w:bottom w:val="nil"/>
              <w:right w:val="nil"/>
            </w:tcBorders>
          </w:tcPr>
          <w:p w14:paraId="48F52CC1"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00C2BDE9"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49FC464C"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6E21A35B"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1B84C5E2"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4FA83143"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0276C018"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20B409A6" w14:textId="77777777" w:rsidR="000E30E4" w:rsidRPr="007D2490" w:rsidRDefault="000E30E4" w:rsidP="00981A02">
            <w:pPr>
              <w:spacing w:after="0"/>
              <w:rPr>
                <w:rFonts w:asciiTheme="minorHAnsi" w:hAnsiTheme="minorHAnsi" w:cstheme="minorHAnsi"/>
                <w:color w:val="000000"/>
                <w:sz w:val="20"/>
                <w:szCs w:val="20"/>
              </w:rPr>
            </w:pPr>
          </w:p>
        </w:tc>
        <w:tc>
          <w:tcPr>
            <w:tcW w:w="1033" w:type="dxa"/>
            <w:tcBorders>
              <w:top w:val="nil"/>
              <w:left w:val="nil"/>
              <w:bottom w:val="nil"/>
              <w:right w:val="nil"/>
            </w:tcBorders>
          </w:tcPr>
          <w:p w14:paraId="35E2F03C" w14:textId="77777777" w:rsidR="000E30E4" w:rsidRPr="007D2490" w:rsidRDefault="000E30E4" w:rsidP="00981A02">
            <w:pPr>
              <w:spacing w:after="0"/>
              <w:rPr>
                <w:rFonts w:asciiTheme="minorHAnsi" w:hAnsiTheme="minorHAnsi" w:cstheme="minorHAnsi"/>
                <w:color w:val="000000"/>
                <w:sz w:val="20"/>
                <w:szCs w:val="20"/>
              </w:rPr>
            </w:pPr>
          </w:p>
        </w:tc>
      </w:tr>
      <w:tr w:rsidR="0051417E" w:rsidRPr="007D2490" w14:paraId="2D279CC2"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BBE59FB" w14:textId="77777777" w:rsidR="000E30E4" w:rsidRPr="007D2490" w:rsidRDefault="000E30E4" w:rsidP="00981A02">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L3</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08EC367" w14:textId="002041FA" w:rsidR="000E30E4" w:rsidRPr="007D2490" w:rsidRDefault="000E30E4" w:rsidP="00080FEE">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51417E">
              <w:rPr>
                <w:rFonts w:asciiTheme="minorHAnsi" w:hAnsiTheme="minorHAnsi" w:cstheme="minorHAnsi"/>
                <w:color w:val="000000"/>
                <w:sz w:val="20"/>
                <w:szCs w:val="20"/>
              </w:rPr>
              <w:t>44,331</w:t>
            </w:r>
          </w:p>
        </w:tc>
        <w:tc>
          <w:tcPr>
            <w:tcW w:w="270" w:type="dxa"/>
            <w:tcBorders>
              <w:top w:val="nil"/>
              <w:left w:val="single" w:sz="4" w:space="0" w:color="BFBFBF" w:themeColor="background1" w:themeShade="BF"/>
              <w:bottom w:val="nil"/>
              <w:right w:val="nil"/>
            </w:tcBorders>
          </w:tcPr>
          <w:p w14:paraId="2FEB42BA"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6F6B9A3B"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0E08C046"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00C4F435"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1ED94044"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0F832E39"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3691048E"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7468947C" w14:textId="77777777" w:rsidR="000E30E4" w:rsidRPr="007D2490" w:rsidRDefault="000E30E4" w:rsidP="00981A02">
            <w:pPr>
              <w:spacing w:after="0"/>
              <w:rPr>
                <w:rFonts w:asciiTheme="minorHAnsi" w:hAnsiTheme="minorHAnsi" w:cstheme="minorHAnsi"/>
                <w:color w:val="000000"/>
                <w:sz w:val="20"/>
                <w:szCs w:val="20"/>
              </w:rPr>
            </w:pPr>
          </w:p>
        </w:tc>
        <w:tc>
          <w:tcPr>
            <w:tcW w:w="1033" w:type="dxa"/>
            <w:tcBorders>
              <w:top w:val="nil"/>
              <w:left w:val="nil"/>
              <w:bottom w:val="nil"/>
              <w:right w:val="nil"/>
            </w:tcBorders>
          </w:tcPr>
          <w:p w14:paraId="6B1559EC" w14:textId="77777777" w:rsidR="000E30E4" w:rsidRPr="007D2490" w:rsidRDefault="000E30E4" w:rsidP="00981A02">
            <w:pPr>
              <w:spacing w:after="0"/>
              <w:rPr>
                <w:rFonts w:asciiTheme="minorHAnsi" w:hAnsiTheme="minorHAnsi" w:cstheme="minorHAnsi"/>
                <w:color w:val="000000"/>
                <w:sz w:val="20"/>
                <w:szCs w:val="20"/>
              </w:rPr>
            </w:pPr>
          </w:p>
        </w:tc>
      </w:tr>
      <w:tr w:rsidR="0051417E" w:rsidRPr="007D2490" w14:paraId="123799DE"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3B59936"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L4</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8C3AB8C" w14:textId="708FC38C" w:rsidR="000E30E4" w:rsidRPr="007D2490" w:rsidRDefault="0077586B" w:rsidP="00080FEE">
            <w:pPr>
              <w:spacing w:after="0"/>
              <w:jc w:val="right"/>
              <w:rPr>
                <w:rFonts w:asciiTheme="minorHAnsi" w:hAnsiTheme="minorHAnsi" w:cstheme="minorHAnsi"/>
                <w:color w:val="000000"/>
                <w:sz w:val="20"/>
                <w:szCs w:val="20"/>
              </w:rPr>
            </w:pPr>
            <w:r>
              <w:rPr>
                <w:rFonts w:asciiTheme="minorHAnsi" w:hAnsiTheme="minorHAnsi" w:cstheme="minorHAnsi"/>
                <w:color w:val="000000"/>
                <w:sz w:val="20"/>
                <w:szCs w:val="20"/>
              </w:rPr>
              <w:t>£</w:t>
            </w:r>
            <w:r w:rsidR="0051417E">
              <w:rPr>
                <w:rFonts w:asciiTheme="minorHAnsi" w:hAnsiTheme="minorHAnsi" w:cstheme="minorHAnsi"/>
                <w:color w:val="000000"/>
                <w:sz w:val="20"/>
                <w:szCs w:val="20"/>
              </w:rPr>
              <w:t>45,434</w:t>
            </w:r>
          </w:p>
        </w:tc>
        <w:tc>
          <w:tcPr>
            <w:tcW w:w="270" w:type="dxa"/>
            <w:tcBorders>
              <w:top w:val="nil"/>
              <w:left w:val="single" w:sz="4" w:space="0" w:color="BFBFBF" w:themeColor="background1" w:themeShade="BF"/>
              <w:bottom w:val="nil"/>
              <w:right w:val="nil"/>
            </w:tcBorders>
          </w:tcPr>
          <w:p w14:paraId="1598E82A"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260F3F9E"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32085841"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052E96E0"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675EBA02"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3812C621"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4347ACF1"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2FC261EF" w14:textId="77777777" w:rsidR="000E30E4" w:rsidRPr="007D2490" w:rsidRDefault="000E30E4" w:rsidP="00981A02">
            <w:pPr>
              <w:spacing w:after="0"/>
              <w:rPr>
                <w:rFonts w:asciiTheme="minorHAnsi" w:hAnsiTheme="minorHAnsi" w:cstheme="minorHAnsi"/>
                <w:color w:val="000000"/>
                <w:sz w:val="20"/>
                <w:szCs w:val="20"/>
              </w:rPr>
            </w:pPr>
          </w:p>
        </w:tc>
        <w:tc>
          <w:tcPr>
            <w:tcW w:w="1033" w:type="dxa"/>
            <w:tcBorders>
              <w:top w:val="nil"/>
              <w:left w:val="nil"/>
              <w:bottom w:val="nil"/>
              <w:right w:val="nil"/>
            </w:tcBorders>
          </w:tcPr>
          <w:p w14:paraId="4F33D322" w14:textId="77777777" w:rsidR="000E30E4" w:rsidRPr="007D2490" w:rsidRDefault="000E30E4" w:rsidP="00981A02">
            <w:pPr>
              <w:spacing w:after="0"/>
              <w:rPr>
                <w:rFonts w:asciiTheme="minorHAnsi" w:hAnsiTheme="minorHAnsi" w:cstheme="minorHAnsi"/>
                <w:color w:val="000000"/>
                <w:sz w:val="20"/>
                <w:szCs w:val="20"/>
              </w:rPr>
            </w:pPr>
          </w:p>
        </w:tc>
      </w:tr>
      <w:tr w:rsidR="0051417E" w:rsidRPr="007D2490" w14:paraId="66638E9C"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A169D4E"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L5</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09DBA5D" w14:textId="564DC6BF" w:rsidR="000E30E4" w:rsidRPr="007D2490" w:rsidRDefault="00F95B91" w:rsidP="00080FEE">
            <w:pPr>
              <w:spacing w:after="0"/>
              <w:jc w:val="right"/>
              <w:rPr>
                <w:rFonts w:asciiTheme="minorHAnsi" w:hAnsiTheme="minorHAnsi" w:cstheme="minorHAnsi"/>
                <w:color w:val="000000"/>
                <w:sz w:val="20"/>
                <w:szCs w:val="20"/>
              </w:rPr>
            </w:pPr>
            <w:r>
              <w:rPr>
                <w:rFonts w:asciiTheme="minorHAnsi" w:hAnsiTheme="minorHAnsi" w:cstheme="minorHAnsi"/>
                <w:color w:val="000000"/>
                <w:sz w:val="20"/>
                <w:szCs w:val="20"/>
              </w:rPr>
              <w:t>£</w:t>
            </w:r>
            <w:r w:rsidR="0051417E">
              <w:rPr>
                <w:rFonts w:asciiTheme="minorHAnsi" w:hAnsiTheme="minorHAnsi" w:cstheme="minorHAnsi"/>
                <w:color w:val="000000"/>
                <w:sz w:val="20"/>
                <w:szCs w:val="20"/>
              </w:rPr>
              <w:t>46,566</w:t>
            </w:r>
          </w:p>
        </w:tc>
        <w:tc>
          <w:tcPr>
            <w:tcW w:w="270" w:type="dxa"/>
            <w:tcBorders>
              <w:top w:val="nil"/>
              <w:left w:val="single" w:sz="4" w:space="0" w:color="BFBFBF" w:themeColor="background1" w:themeShade="BF"/>
              <w:bottom w:val="nil"/>
              <w:right w:val="nil"/>
            </w:tcBorders>
          </w:tcPr>
          <w:p w14:paraId="4E035388"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single" w:sz="4" w:space="0" w:color="A6A6A6" w:themeColor="background1" w:themeShade="A6"/>
              <w:right w:val="nil"/>
            </w:tcBorders>
          </w:tcPr>
          <w:p w14:paraId="70A868C3"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07C7F150"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1C812FE7"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23178058"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57A37820"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35443A65" w14:textId="77777777" w:rsidR="000E30E4" w:rsidRPr="007D2490" w:rsidRDefault="000E30E4" w:rsidP="00981A02">
            <w:pPr>
              <w:spacing w:after="0"/>
              <w:rPr>
                <w:rFonts w:asciiTheme="minorHAnsi" w:hAnsiTheme="minorHAnsi" w:cstheme="minorHAnsi"/>
                <w:color w:val="000000"/>
                <w:sz w:val="20"/>
                <w:szCs w:val="20"/>
              </w:rPr>
            </w:pPr>
          </w:p>
        </w:tc>
        <w:tc>
          <w:tcPr>
            <w:tcW w:w="881" w:type="dxa"/>
            <w:tcBorders>
              <w:top w:val="nil"/>
              <w:left w:val="nil"/>
              <w:bottom w:val="nil"/>
              <w:right w:val="nil"/>
            </w:tcBorders>
          </w:tcPr>
          <w:p w14:paraId="1580F535" w14:textId="77777777" w:rsidR="000E30E4" w:rsidRPr="007D2490" w:rsidRDefault="000E30E4" w:rsidP="00981A02">
            <w:pPr>
              <w:spacing w:after="0"/>
              <w:rPr>
                <w:rFonts w:asciiTheme="minorHAnsi" w:hAnsiTheme="minorHAnsi" w:cstheme="minorHAnsi"/>
                <w:color w:val="000000"/>
                <w:sz w:val="20"/>
                <w:szCs w:val="20"/>
              </w:rPr>
            </w:pPr>
          </w:p>
        </w:tc>
        <w:tc>
          <w:tcPr>
            <w:tcW w:w="1033" w:type="dxa"/>
            <w:tcBorders>
              <w:top w:val="nil"/>
              <w:left w:val="nil"/>
              <w:bottom w:val="nil"/>
              <w:right w:val="nil"/>
            </w:tcBorders>
          </w:tcPr>
          <w:p w14:paraId="0F4BB4CB" w14:textId="77777777" w:rsidR="000E30E4" w:rsidRPr="007D2490" w:rsidRDefault="000E30E4" w:rsidP="00981A02">
            <w:pPr>
              <w:spacing w:after="0"/>
              <w:rPr>
                <w:rFonts w:asciiTheme="minorHAnsi" w:hAnsiTheme="minorHAnsi" w:cstheme="minorHAnsi"/>
                <w:color w:val="000000"/>
                <w:sz w:val="20"/>
                <w:szCs w:val="20"/>
              </w:rPr>
            </w:pPr>
          </w:p>
        </w:tc>
      </w:tr>
      <w:tr w:rsidR="0051417E" w:rsidRPr="007D2490" w14:paraId="29F05CF7"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462DFB9"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L6</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02D8903" w14:textId="00CE8367" w:rsidR="000E30E4" w:rsidRPr="007D2490" w:rsidRDefault="00F95B91" w:rsidP="00A7516E">
            <w:pPr>
              <w:spacing w:after="0"/>
              <w:jc w:val="right"/>
              <w:rPr>
                <w:rFonts w:asciiTheme="minorHAnsi" w:hAnsiTheme="minorHAnsi" w:cstheme="minorHAnsi"/>
                <w:color w:val="000000"/>
                <w:sz w:val="20"/>
                <w:szCs w:val="20"/>
              </w:rPr>
            </w:pPr>
            <w:r>
              <w:rPr>
                <w:rFonts w:asciiTheme="minorHAnsi" w:hAnsiTheme="minorHAnsi" w:cstheme="minorHAnsi"/>
                <w:color w:val="000000"/>
                <w:sz w:val="20"/>
                <w:szCs w:val="20"/>
              </w:rPr>
              <w:t>£</w:t>
            </w:r>
            <w:r w:rsidR="0051417E">
              <w:rPr>
                <w:rFonts w:asciiTheme="minorHAnsi" w:hAnsiTheme="minorHAnsi" w:cstheme="minorHAnsi"/>
                <w:color w:val="000000"/>
                <w:sz w:val="20"/>
                <w:szCs w:val="20"/>
              </w:rPr>
              <w:t>47,735</w:t>
            </w:r>
          </w:p>
        </w:tc>
        <w:tc>
          <w:tcPr>
            <w:tcW w:w="270" w:type="dxa"/>
            <w:tcBorders>
              <w:top w:val="nil"/>
              <w:left w:val="single" w:sz="4" w:space="0" w:color="BFBFBF" w:themeColor="background1" w:themeShade="BF"/>
              <w:bottom w:val="nil"/>
              <w:right w:val="single" w:sz="4" w:space="0" w:color="A6A6A6" w:themeColor="background1" w:themeShade="A6"/>
            </w:tcBorders>
          </w:tcPr>
          <w:p w14:paraId="5DEDF288"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restart"/>
            <w:tcBorders>
              <w:top w:val="single" w:sz="4" w:space="0" w:color="A6A6A6" w:themeColor="background1" w:themeShade="A6"/>
              <w:left w:val="single" w:sz="4" w:space="0" w:color="A6A6A6" w:themeColor="background1" w:themeShade="A6"/>
            </w:tcBorders>
            <w:vAlign w:val="center"/>
          </w:tcPr>
          <w:p w14:paraId="0C7E3F53" w14:textId="77777777" w:rsidR="000E30E4" w:rsidRPr="00FA6338" w:rsidRDefault="00080FEE" w:rsidP="007D2490">
            <w:pPr>
              <w:spacing w:after="0"/>
              <w:jc w:val="center"/>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 xml:space="preserve">HT </w:t>
            </w:r>
            <w:r w:rsidR="000E30E4" w:rsidRPr="00FA6338">
              <w:rPr>
                <w:rFonts w:asciiTheme="minorHAnsi" w:hAnsiTheme="minorHAnsi" w:cstheme="minorHAnsi"/>
                <w:b/>
                <w:bCs/>
                <w:color w:val="000000"/>
                <w:sz w:val="20"/>
                <w:szCs w:val="20"/>
              </w:rPr>
              <w:t>Group 1</w:t>
            </w:r>
          </w:p>
          <w:p w14:paraId="6250068D" w14:textId="77777777" w:rsidR="000E30E4" w:rsidRPr="00FA6338" w:rsidRDefault="000E30E4" w:rsidP="007D2490">
            <w:pPr>
              <w:spacing w:after="0"/>
              <w:jc w:val="center"/>
              <w:rPr>
                <w:rFonts w:asciiTheme="minorHAnsi" w:hAnsiTheme="minorHAnsi" w:cstheme="minorHAnsi"/>
                <w:b/>
                <w:bCs/>
                <w:color w:val="000000"/>
                <w:sz w:val="20"/>
                <w:szCs w:val="20"/>
              </w:rPr>
            </w:pPr>
          </w:p>
          <w:p w14:paraId="3318404A" w14:textId="3FBE677A" w:rsidR="000E30E4" w:rsidRPr="007D2490" w:rsidRDefault="000E30E4" w:rsidP="006418AB">
            <w:pPr>
              <w:spacing w:after="0"/>
              <w:jc w:val="center"/>
              <w:rPr>
                <w:rFonts w:asciiTheme="minorHAnsi" w:hAnsiTheme="minorHAnsi" w:cstheme="minorHAnsi"/>
                <w:color w:val="000000"/>
                <w:sz w:val="20"/>
                <w:szCs w:val="20"/>
              </w:rPr>
            </w:pPr>
            <w:r w:rsidRPr="00FA6338">
              <w:rPr>
                <w:rFonts w:asciiTheme="minorHAnsi" w:hAnsiTheme="minorHAnsi" w:cstheme="minorHAnsi"/>
                <w:b/>
                <w:bCs/>
                <w:color w:val="000000"/>
                <w:sz w:val="20"/>
                <w:szCs w:val="20"/>
              </w:rPr>
              <w:t>£</w:t>
            </w:r>
            <w:r w:rsidR="00D05086" w:rsidRPr="00FA6338">
              <w:rPr>
                <w:rFonts w:asciiTheme="minorHAnsi" w:hAnsiTheme="minorHAnsi" w:cstheme="minorHAnsi"/>
                <w:b/>
                <w:bCs/>
                <w:color w:val="000000"/>
                <w:sz w:val="20"/>
                <w:szCs w:val="20"/>
              </w:rPr>
              <w:t>47,735</w:t>
            </w:r>
            <w:r w:rsidRPr="00FA6338">
              <w:rPr>
                <w:rFonts w:asciiTheme="minorHAnsi" w:hAnsiTheme="minorHAnsi" w:cstheme="minorHAnsi"/>
                <w:b/>
                <w:bCs/>
                <w:color w:val="000000"/>
                <w:sz w:val="20"/>
                <w:szCs w:val="20"/>
              </w:rPr>
              <w:t xml:space="preserve"> - £</w:t>
            </w:r>
            <w:r w:rsidR="00D05086" w:rsidRPr="00FA6338">
              <w:rPr>
                <w:rFonts w:asciiTheme="minorHAnsi" w:hAnsiTheme="minorHAnsi" w:cstheme="minorHAnsi"/>
                <w:b/>
                <w:bCs/>
                <w:color w:val="000000"/>
                <w:sz w:val="20"/>
                <w:szCs w:val="20"/>
              </w:rPr>
              <w:t>63,508</w:t>
            </w:r>
          </w:p>
        </w:tc>
        <w:tc>
          <w:tcPr>
            <w:tcW w:w="881" w:type="dxa"/>
            <w:tcBorders>
              <w:top w:val="nil"/>
              <w:bottom w:val="nil"/>
              <w:right w:val="nil"/>
            </w:tcBorders>
            <w:vAlign w:val="center"/>
          </w:tcPr>
          <w:p w14:paraId="44673465"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4651D48B"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4C53A7C5"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40581126"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0D96BDD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6AFCBAB0"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left w:val="nil"/>
              <w:bottom w:val="nil"/>
              <w:right w:val="nil"/>
            </w:tcBorders>
            <w:vAlign w:val="center"/>
          </w:tcPr>
          <w:p w14:paraId="7C92E1E1"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6965D361"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52B3CB0"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L7</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6C3CDF4" w14:textId="069479FB" w:rsidR="000E30E4" w:rsidRPr="007D2490" w:rsidRDefault="000E30E4" w:rsidP="00A7516E">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A61664">
              <w:rPr>
                <w:rFonts w:asciiTheme="minorHAnsi" w:hAnsiTheme="minorHAnsi" w:cstheme="minorHAnsi"/>
                <w:color w:val="000000"/>
                <w:sz w:val="20"/>
                <w:szCs w:val="20"/>
              </w:rPr>
              <w:t>49,019</w:t>
            </w:r>
          </w:p>
        </w:tc>
        <w:tc>
          <w:tcPr>
            <w:tcW w:w="270" w:type="dxa"/>
            <w:tcBorders>
              <w:top w:val="nil"/>
              <w:left w:val="single" w:sz="4" w:space="0" w:color="BFBFBF" w:themeColor="background1" w:themeShade="BF"/>
              <w:bottom w:val="nil"/>
              <w:right w:val="single" w:sz="4" w:space="0" w:color="A6A6A6" w:themeColor="background1" w:themeShade="A6"/>
            </w:tcBorders>
          </w:tcPr>
          <w:p w14:paraId="00C0F55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tcBorders>
              <w:left w:val="single" w:sz="4" w:space="0" w:color="A6A6A6" w:themeColor="background1" w:themeShade="A6"/>
            </w:tcBorders>
            <w:vAlign w:val="center"/>
          </w:tcPr>
          <w:p w14:paraId="058FD894"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bottom w:val="single" w:sz="4" w:space="0" w:color="A6A6A6" w:themeColor="background1" w:themeShade="A6"/>
              <w:right w:val="nil"/>
            </w:tcBorders>
            <w:vAlign w:val="center"/>
          </w:tcPr>
          <w:p w14:paraId="7A74696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5EFD60C2"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3975CB1E"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76FE132A"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0C322739"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7B177E02"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left w:val="nil"/>
              <w:bottom w:val="nil"/>
              <w:right w:val="nil"/>
            </w:tcBorders>
            <w:vAlign w:val="center"/>
          </w:tcPr>
          <w:p w14:paraId="4F4A1DCB"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25A98E45"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26B19E4"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L8</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1CCF7A6" w14:textId="091850AD" w:rsidR="000E30E4" w:rsidRPr="007D2490" w:rsidRDefault="00F95B91" w:rsidP="00080FEE">
            <w:pPr>
              <w:spacing w:after="0"/>
              <w:jc w:val="right"/>
              <w:rPr>
                <w:rFonts w:asciiTheme="minorHAnsi" w:hAnsiTheme="minorHAnsi" w:cstheme="minorHAnsi"/>
                <w:color w:val="000000"/>
                <w:sz w:val="20"/>
                <w:szCs w:val="20"/>
              </w:rPr>
            </w:pPr>
            <w:r>
              <w:rPr>
                <w:rFonts w:asciiTheme="minorHAnsi" w:hAnsiTheme="minorHAnsi" w:cstheme="minorHAnsi"/>
                <w:color w:val="000000"/>
                <w:sz w:val="20"/>
                <w:szCs w:val="20"/>
              </w:rPr>
              <w:t>£</w:t>
            </w:r>
            <w:r w:rsidR="00A61664">
              <w:rPr>
                <w:rFonts w:asciiTheme="minorHAnsi" w:hAnsiTheme="minorHAnsi" w:cstheme="minorHAnsi"/>
                <w:color w:val="000000"/>
                <w:sz w:val="20"/>
                <w:szCs w:val="20"/>
              </w:rPr>
              <w:t>50,151</w:t>
            </w:r>
          </w:p>
        </w:tc>
        <w:tc>
          <w:tcPr>
            <w:tcW w:w="270" w:type="dxa"/>
            <w:tcBorders>
              <w:top w:val="nil"/>
              <w:left w:val="single" w:sz="4" w:space="0" w:color="BFBFBF" w:themeColor="background1" w:themeShade="BF"/>
              <w:bottom w:val="nil"/>
              <w:right w:val="single" w:sz="4" w:space="0" w:color="A6A6A6" w:themeColor="background1" w:themeShade="A6"/>
            </w:tcBorders>
          </w:tcPr>
          <w:p w14:paraId="0F458183"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tcBorders>
              <w:left w:val="single" w:sz="4" w:space="0" w:color="A6A6A6" w:themeColor="background1" w:themeShade="A6"/>
            </w:tcBorders>
            <w:vAlign w:val="center"/>
          </w:tcPr>
          <w:p w14:paraId="78863FC6"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restart"/>
            <w:tcBorders>
              <w:top w:val="single" w:sz="4" w:space="0" w:color="A6A6A6" w:themeColor="background1" w:themeShade="A6"/>
            </w:tcBorders>
            <w:vAlign w:val="center"/>
          </w:tcPr>
          <w:p w14:paraId="5149902E" w14:textId="77777777" w:rsidR="000E30E4" w:rsidRPr="00FA6338" w:rsidRDefault="00080FEE" w:rsidP="007D2490">
            <w:pPr>
              <w:spacing w:after="0"/>
              <w:jc w:val="center"/>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 xml:space="preserve">HT </w:t>
            </w:r>
            <w:r w:rsidR="000E30E4" w:rsidRPr="00FA6338">
              <w:rPr>
                <w:rFonts w:asciiTheme="minorHAnsi" w:hAnsiTheme="minorHAnsi" w:cstheme="minorHAnsi"/>
                <w:b/>
                <w:bCs/>
                <w:color w:val="000000"/>
                <w:sz w:val="20"/>
                <w:szCs w:val="20"/>
              </w:rPr>
              <w:t>Group 2</w:t>
            </w:r>
          </w:p>
          <w:p w14:paraId="0E2D1B4B" w14:textId="0127D7FE" w:rsidR="000E30E4" w:rsidRPr="007D2490" w:rsidRDefault="000E30E4" w:rsidP="006418AB">
            <w:pPr>
              <w:spacing w:after="0"/>
              <w:jc w:val="center"/>
              <w:rPr>
                <w:rFonts w:asciiTheme="minorHAnsi" w:hAnsiTheme="minorHAnsi" w:cstheme="minorHAnsi"/>
                <w:color w:val="000000"/>
                <w:sz w:val="20"/>
                <w:szCs w:val="20"/>
              </w:rPr>
            </w:pPr>
            <w:r w:rsidRPr="00FA6338">
              <w:rPr>
                <w:rFonts w:asciiTheme="minorHAnsi" w:hAnsiTheme="minorHAnsi" w:cstheme="minorHAnsi"/>
                <w:b/>
                <w:bCs/>
                <w:color w:val="000000"/>
                <w:sz w:val="20"/>
                <w:szCs w:val="20"/>
              </w:rPr>
              <w:t>£</w:t>
            </w:r>
            <w:r w:rsidR="00D05086" w:rsidRPr="00FA6338">
              <w:rPr>
                <w:rFonts w:asciiTheme="minorHAnsi" w:hAnsiTheme="minorHAnsi" w:cstheme="minorHAnsi"/>
                <w:b/>
                <w:bCs/>
                <w:color w:val="000000"/>
                <w:sz w:val="20"/>
                <w:szCs w:val="20"/>
              </w:rPr>
              <w:t>50,151</w:t>
            </w:r>
            <w:r w:rsidR="006418AB" w:rsidRPr="00FA6338">
              <w:rPr>
                <w:rFonts w:asciiTheme="minorHAnsi" w:hAnsiTheme="minorHAnsi" w:cstheme="minorHAnsi"/>
                <w:b/>
                <w:bCs/>
                <w:color w:val="000000"/>
                <w:sz w:val="20"/>
                <w:szCs w:val="20"/>
              </w:rPr>
              <w:t xml:space="preserve"> - £</w:t>
            </w:r>
            <w:r w:rsidR="00D05086" w:rsidRPr="00FA6338">
              <w:rPr>
                <w:rFonts w:asciiTheme="minorHAnsi" w:hAnsiTheme="minorHAnsi" w:cstheme="minorHAnsi"/>
                <w:b/>
                <w:bCs/>
                <w:color w:val="000000"/>
                <w:sz w:val="20"/>
                <w:szCs w:val="20"/>
              </w:rPr>
              <w:t>68,347</w:t>
            </w:r>
          </w:p>
        </w:tc>
        <w:tc>
          <w:tcPr>
            <w:tcW w:w="881" w:type="dxa"/>
            <w:tcBorders>
              <w:top w:val="nil"/>
              <w:bottom w:val="nil"/>
              <w:right w:val="nil"/>
            </w:tcBorders>
            <w:vAlign w:val="center"/>
          </w:tcPr>
          <w:p w14:paraId="737CB2E8"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11E863FF"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1B50EEE7"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0AE9CF6A"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46C6D186"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left w:val="nil"/>
              <w:bottom w:val="nil"/>
              <w:right w:val="nil"/>
            </w:tcBorders>
            <w:vAlign w:val="center"/>
          </w:tcPr>
          <w:p w14:paraId="5460EE7A"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62F3DF19"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4C3BFA2"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L9</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49BB080" w14:textId="7095D994" w:rsidR="000E30E4" w:rsidRPr="007D2490" w:rsidRDefault="000E30E4" w:rsidP="00080FEE">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A61664">
              <w:rPr>
                <w:rFonts w:asciiTheme="minorHAnsi" w:hAnsiTheme="minorHAnsi" w:cstheme="minorHAnsi"/>
                <w:color w:val="000000"/>
                <w:sz w:val="20"/>
                <w:szCs w:val="20"/>
              </w:rPr>
              <w:t>51,402</w:t>
            </w:r>
          </w:p>
        </w:tc>
        <w:tc>
          <w:tcPr>
            <w:tcW w:w="270" w:type="dxa"/>
            <w:tcBorders>
              <w:top w:val="nil"/>
              <w:left w:val="single" w:sz="4" w:space="0" w:color="BFBFBF" w:themeColor="background1" w:themeShade="BF"/>
              <w:bottom w:val="nil"/>
              <w:right w:val="single" w:sz="4" w:space="0" w:color="A6A6A6" w:themeColor="background1" w:themeShade="A6"/>
            </w:tcBorders>
          </w:tcPr>
          <w:p w14:paraId="33CEE1B6"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tcBorders>
              <w:left w:val="single" w:sz="4" w:space="0" w:color="A6A6A6" w:themeColor="background1" w:themeShade="A6"/>
            </w:tcBorders>
            <w:vAlign w:val="center"/>
          </w:tcPr>
          <w:p w14:paraId="22B5DA56"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3585D934"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bottom w:val="nil"/>
              <w:right w:val="nil"/>
            </w:tcBorders>
            <w:vAlign w:val="center"/>
          </w:tcPr>
          <w:p w14:paraId="6AEA7010"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3ED9FD4A"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4BD6D3E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0B8B29F8"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74D5D0A7"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left w:val="nil"/>
              <w:bottom w:val="nil"/>
              <w:right w:val="nil"/>
            </w:tcBorders>
            <w:vAlign w:val="center"/>
          </w:tcPr>
          <w:p w14:paraId="49B29466"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16CAAD17"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0C2BE50"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L10</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A0BE30D" w14:textId="3FC8E659" w:rsidR="000E30E4" w:rsidRPr="007D2490" w:rsidRDefault="00F95B91" w:rsidP="00080FEE">
            <w:pPr>
              <w:spacing w:after="0"/>
              <w:jc w:val="right"/>
              <w:rPr>
                <w:rFonts w:asciiTheme="minorHAnsi" w:hAnsiTheme="minorHAnsi" w:cstheme="minorHAnsi"/>
                <w:color w:val="000000"/>
                <w:sz w:val="20"/>
                <w:szCs w:val="20"/>
              </w:rPr>
            </w:pPr>
            <w:r>
              <w:rPr>
                <w:rFonts w:asciiTheme="minorHAnsi" w:hAnsiTheme="minorHAnsi" w:cstheme="minorHAnsi"/>
                <w:color w:val="000000"/>
                <w:sz w:val="20"/>
                <w:szCs w:val="20"/>
              </w:rPr>
              <w:t>£</w:t>
            </w:r>
            <w:r w:rsidR="00A61664">
              <w:rPr>
                <w:rFonts w:asciiTheme="minorHAnsi" w:hAnsiTheme="minorHAnsi" w:cstheme="minorHAnsi"/>
                <w:color w:val="000000"/>
                <w:sz w:val="20"/>
                <w:szCs w:val="20"/>
              </w:rPr>
              <w:t>52,723</w:t>
            </w:r>
          </w:p>
        </w:tc>
        <w:tc>
          <w:tcPr>
            <w:tcW w:w="270" w:type="dxa"/>
            <w:tcBorders>
              <w:top w:val="nil"/>
              <w:left w:val="single" w:sz="4" w:space="0" w:color="BFBFBF" w:themeColor="background1" w:themeShade="BF"/>
              <w:bottom w:val="nil"/>
              <w:right w:val="single" w:sz="4" w:space="0" w:color="A6A6A6" w:themeColor="background1" w:themeShade="A6"/>
            </w:tcBorders>
          </w:tcPr>
          <w:p w14:paraId="051210FD"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tcBorders>
              <w:left w:val="single" w:sz="4" w:space="0" w:color="A6A6A6" w:themeColor="background1" w:themeShade="A6"/>
            </w:tcBorders>
            <w:vAlign w:val="center"/>
          </w:tcPr>
          <w:p w14:paraId="21227448"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41D3B4BD"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bottom w:val="single" w:sz="4" w:space="0" w:color="A6A6A6" w:themeColor="background1" w:themeShade="A6"/>
              <w:right w:val="nil"/>
            </w:tcBorders>
            <w:vAlign w:val="center"/>
          </w:tcPr>
          <w:p w14:paraId="71C9948B"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5D548930"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0F1FD779"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5399F90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54F4351F"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left w:val="nil"/>
              <w:bottom w:val="nil"/>
              <w:right w:val="nil"/>
            </w:tcBorders>
            <w:vAlign w:val="center"/>
          </w:tcPr>
          <w:p w14:paraId="37A6D874"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3EBEC9F4"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85F01C0"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L11</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FD31E01" w14:textId="558C8350" w:rsidR="000E30E4" w:rsidRPr="007D2490" w:rsidRDefault="000E30E4" w:rsidP="00080FEE">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A61664">
              <w:rPr>
                <w:rFonts w:asciiTheme="minorHAnsi" w:hAnsiTheme="minorHAnsi" w:cstheme="minorHAnsi"/>
                <w:color w:val="000000"/>
                <w:sz w:val="20"/>
                <w:szCs w:val="20"/>
              </w:rPr>
              <w:t>54,091</w:t>
            </w:r>
          </w:p>
        </w:tc>
        <w:tc>
          <w:tcPr>
            <w:tcW w:w="270" w:type="dxa"/>
            <w:tcBorders>
              <w:top w:val="nil"/>
              <w:left w:val="single" w:sz="4" w:space="0" w:color="BFBFBF" w:themeColor="background1" w:themeShade="BF"/>
              <w:bottom w:val="nil"/>
              <w:right w:val="single" w:sz="4" w:space="0" w:color="A6A6A6" w:themeColor="background1" w:themeShade="A6"/>
            </w:tcBorders>
          </w:tcPr>
          <w:p w14:paraId="113304ED"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tcBorders>
              <w:left w:val="single" w:sz="4" w:space="0" w:color="A6A6A6" w:themeColor="background1" w:themeShade="A6"/>
            </w:tcBorders>
            <w:vAlign w:val="center"/>
          </w:tcPr>
          <w:p w14:paraId="6D50B59D"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4C5426BE"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restart"/>
            <w:tcBorders>
              <w:top w:val="single" w:sz="4" w:space="0" w:color="A6A6A6" w:themeColor="background1" w:themeShade="A6"/>
            </w:tcBorders>
            <w:vAlign w:val="center"/>
          </w:tcPr>
          <w:p w14:paraId="535F37A4" w14:textId="77777777" w:rsidR="000E30E4" w:rsidRPr="00FA6338" w:rsidRDefault="00080FEE" w:rsidP="007D2490">
            <w:pPr>
              <w:spacing w:after="0"/>
              <w:jc w:val="center"/>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 xml:space="preserve">HT </w:t>
            </w:r>
            <w:r w:rsidR="000E30E4" w:rsidRPr="00FA6338">
              <w:rPr>
                <w:rFonts w:asciiTheme="minorHAnsi" w:hAnsiTheme="minorHAnsi" w:cstheme="minorHAnsi"/>
                <w:b/>
                <w:bCs/>
                <w:color w:val="000000"/>
                <w:sz w:val="20"/>
                <w:szCs w:val="20"/>
              </w:rPr>
              <w:t>Group 3</w:t>
            </w:r>
          </w:p>
          <w:p w14:paraId="06E668A5" w14:textId="77777777" w:rsidR="000E30E4" w:rsidRPr="00FA6338" w:rsidRDefault="000E30E4" w:rsidP="007D2490">
            <w:pPr>
              <w:spacing w:after="0"/>
              <w:jc w:val="center"/>
              <w:rPr>
                <w:rFonts w:asciiTheme="minorHAnsi" w:hAnsiTheme="minorHAnsi" w:cstheme="minorHAnsi"/>
                <w:b/>
                <w:bCs/>
                <w:color w:val="000000"/>
                <w:sz w:val="20"/>
                <w:szCs w:val="20"/>
              </w:rPr>
            </w:pPr>
          </w:p>
          <w:p w14:paraId="50494227" w14:textId="7FFC6487" w:rsidR="000E30E4" w:rsidRPr="007D2490" w:rsidRDefault="000E30E4" w:rsidP="006418AB">
            <w:pPr>
              <w:spacing w:after="0"/>
              <w:jc w:val="center"/>
              <w:rPr>
                <w:rFonts w:asciiTheme="minorHAnsi" w:hAnsiTheme="minorHAnsi" w:cstheme="minorHAnsi"/>
                <w:color w:val="000000"/>
                <w:sz w:val="20"/>
                <w:szCs w:val="20"/>
              </w:rPr>
            </w:pPr>
            <w:r w:rsidRPr="00FA6338">
              <w:rPr>
                <w:rFonts w:asciiTheme="minorHAnsi" w:hAnsiTheme="minorHAnsi" w:cstheme="minorHAnsi"/>
                <w:b/>
                <w:bCs/>
                <w:color w:val="000000"/>
                <w:sz w:val="20"/>
                <w:szCs w:val="20"/>
              </w:rPr>
              <w:t>£</w:t>
            </w:r>
            <w:r w:rsidR="00D05086" w:rsidRPr="00FA6338">
              <w:rPr>
                <w:rFonts w:asciiTheme="minorHAnsi" w:hAnsiTheme="minorHAnsi" w:cstheme="minorHAnsi"/>
                <w:b/>
                <w:bCs/>
                <w:color w:val="000000"/>
                <w:sz w:val="20"/>
                <w:szCs w:val="20"/>
              </w:rPr>
              <w:t>54,091</w:t>
            </w:r>
            <w:r w:rsidRPr="00FA6338">
              <w:rPr>
                <w:rFonts w:asciiTheme="minorHAnsi" w:hAnsiTheme="minorHAnsi" w:cstheme="minorHAnsi"/>
                <w:b/>
                <w:bCs/>
                <w:color w:val="000000"/>
                <w:sz w:val="20"/>
                <w:szCs w:val="20"/>
              </w:rPr>
              <w:t xml:space="preserve"> - £</w:t>
            </w:r>
            <w:r w:rsidR="00D05086" w:rsidRPr="00FA6338">
              <w:rPr>
                <w:rFonts w:asciiTheme="minorHAnsi" w:hAnsiTheme="minorHAnsi" w:cstheme="minorHAnsi"/>
                <w:b/>
                <w:bCs/>
                <w:color w:val="000000"/>
                <w:sz w:val="20"/>
                <w:szCs w:val="20"/>
              </w:rPr>
              <w:t>73,559</w:t>
            </w:r>
          </w:p>
        </w:tc>
        <w:tc>
          <w:tcPr>
            <w:tcW w:w="881" w:type="dxa"/>
            <w:tcBorders>
              <w:top w:val="nil"/>
              <w:bottom w:val="nil"/>
              <w:right w:val="nil"/>
            </w:tcBorders>
            <w:vAlign w:val="center"/>
          </w:tcPr>
          <w:p w14:paraId="257BC58F"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1856CE4D"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55352129"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7245FCC8"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left w:val="nil"/>
              <w:bottom w:val="nil"/>
              <w:right w:val="nil"/>
            </w:tcBorders>
            <w:vAlign w:val="center"/>
          </w:tcPr>
          <w:p w14:paraId="01FF6B2A"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59CFDE0B"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856691D"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L12</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60B5559" w14:textId="4E136E72" w:rsidR="000E30E4" w:rsidRPr="007D2490" w:rsidRDefault="00F95B91" w:rsidP="00080FEE">
            <w:pPr>
              <w:spacing w:after="0"/>
              <w:jc w:val="right"/>
              <w:rPr>
                <w:rFonts w:asciiTheme="minorHAnsi" w:hAnsiTheme="minorHAnsi" w:cstheme="minorHAnsi"/>
                <w:color w:val="000000"/>
                <w:sz w:val="20"/>
                <w:szCs w:val="20"/>
              </w:rPr>
            </w:pPr>
            <w:r>
              <w:rPr>
                <w:rFonts w:asciiTheme="minorHAnsi" w:hAnsiTheme="minorHAnsi" w:cstheme="minorHAnsi"/>
                <w:color w:val="000000"/>
                <w:sz w:val="20"/>
                <w:szCs w:val="20"/>
              </w:rPr>
              <w:t>£</w:t>
            </w:r>
            <w:r w:rsidR="00A61664">
              <w:rPr>
                <w:rFonts w:asciiTheme="minorHAnsi" w:hAnsiTheme="minorHAnsi" w:cstheme="minorHAnsi"/>
                <w:color w:val="000000"/>
                <w:sz w:val="20"/>
                <w:szCs w:val="20"/>
              </w:rPr>
              <w:t>55,338</w:t>
            </w:r>
          </w:p>
        </w:tc>
        <w:tc>
          <w:tcPr>
            <w:tcW w:w="270" w:type="dxa"/>
            <w:tcBorders>
              <w:top w:val="nil"/>
              <w:left w:val="single" w:sz="4" w:space="0" w:color="BFBFBF" w:themeColor="background1" w:themeShade="BF"/>
              <w:bottom w:val="nil"/>
              <w:right w:val="single" w:sz="4" w:space="0" w:color="A6A6A6" w:themeColor="background1" w:themeShade="A6"/>
            </w:tcBorders>
          </w:tcPr>
          <w:p w14:paraId="5BD6330A"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tcBorders>
              <w:left w:val="single" w:sz="4" w:space="0" w:color="A6A6A6" w:themeColor="background1" w:themeShade="A6"/>
            </w:tcBorders>
            <w:vAlign w:val="center"/>
          </w:tcPr>
          <w:p w14:paraId="4370DC33"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5BBC7B00"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68C78D1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bottom w:val="nil"/>
              <w:right w:val="nil"/>
            </w:tcBorders>
            <w:vAlign w:val="center"/>
          </w:tcPr>
          <w:p w14:paraId="4A7D4A68"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439C4C73"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5E2DBB5B"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1B797B43"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left w:val="nil"/>
              <w:bottom w:val="nil"/>
              <w:right w:val="nil"/>
            </w:tcBorders>
            <w:vAlign w:val="center"/>
          </w:tcPr>
          <w:p w14:paraId="1E7A6DB8"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43F504DD"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68640AA"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L13</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76B661E" w14:textId="1D35884E" w:rsidR="000E30E4" w:rsidRPr="007D2490" w:rsidRDefault="00F95B91" w:rsidP="00080FEE">
            <w:pPr>
              <w:spacing w:after="0"/>
              <w:jc w:val="right"/>
              <w:rPr>
                <w:rFonts w:asciiTheme="minorHAnsi" w:hAnsiTheme="minorHAnsi" w:cstheme="minorHAnsi"/>
                <w:color w:val="000000"/>
                <w:sz w:val="20"/>
                <w:szCs w:val="20"/>
              </w:rPr>
            </w:pPr>
            <w:r>
              <w:rPr>
                <w:rFonts w:asciiTheme="minorHAnsi" w:hAnsiTheme="minorHAnsi" w:cstheme="minorHAnsi"/>
                <w:color w:val="000000"/>
                <w:sz w:val="20"/>
                <w:szCs w:val="20"/>
              </w:rPr>
              <w:t>£</w:t>
            </w:r>
            <w:r w:rsidR="00A61664">
              <w:rPr>
                <w:rFonts w:asciiTheme="minorHAnsi" w:hAnsiTheme="minorHAnsi" w:cstheme="minorHAnsi"/>
                <w:color w:val="000000"/>
                <w:sz w:val="20"/>
                <w:szCs w:val="20"/>
              </w:rPr>
              <w:t>56,721</w:t>
            </w:r>
          </w:p>
        </w:tc>
        <w:tc>
          <w:tcPr>
            <w:tcW w:w="270" w:type="dxa"/>
            <w:tcBorders>
              <w:top w:val="nil"/>
              <w:left w:val="single" w:sz="4" w:space="0" w:color="BFBFBF" w:themeColor="background1" w:themeShade="BF"/>
              <w:bottom w:val="nil"/>
              <w:right w:val="single" w:sz="4" w:space="0" w:color="A6A6A6" w:themeColor="background1" w:themeShade="A6"/>
            </w:tcBorders>
          </w:tcPr>
          <w:p w14:paraId="2E3954C2"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tcBorders>
              <w:left w:val="single" w:sz="4" w:space="0" w:color="A6A6A6" w:themeColor="background1" w:themeShade="A6"/>
            </w:tcBorders>
            <w:vAlign w:val="center"/>
          </w:tcPr>
          <w:p w14:paraId="6875515E"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77BF7A82"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07CBB4A2"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bottom w:val="single" w:sz="4" w:space="0" w:color="A6A6A6" w:themeColor="background1" w:themeShade="A6"/>
              <w:right w:val="nil"/>
            </w:tcBorders>
            <w:vAlign w:val="center"/>
          </w:tcPr>
          <w:p w14:paraId="2CDD517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418A246F"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6BA47BA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2027D05E"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left w:val="nil"/>
              <w:bottom w:val="nil"/>
              <w:right w:val="nil"/>
            </w:tcBorders>
            <w:vAlign w:val="center"/>
          </w:tcPr>
          <w:p w14:paraId="327169CF"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33080A1A"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9C863E2"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L14</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7ACA787" w14:textId="01E4114D" w:rsidR="000E30E4" w:rsidRPr="007D2490" w:rsidRDefault="00F95B91" w:rsidP="001E5814">
            <w:pPr>
              <w:spacing w:after="0"/>
              <w:jc w:val="right"/>
              <w:rPr>
                <w:rFonts w:asciiTheme="minorHAnsi" w:hAnsiTheme="minorHAnsi" w:cstheme="minorHAnsi"/>
                <w:color w:val="000000"/>
                <w:sz w:val="20"/>
                <w:szCs w:val="20"/>
              </w:rPr>
            </w:pPr>
            <w:r>
              <w:rPr>
                <w:rFonts w:asciiTheme="minorHAnsi" w:hAnsiTheme="minorHAnsi" w:cstheme="minorHAnsi"/>
                <w:color w:val="000000"/>
                <w:sz w:val="20"/>
                <w:szCs w:val="20"/>
              </w:rPr>
              <w:t>£</w:t>
            </w:r>
            <w:r w:rsidR="00A61664">
              <w:rPr>
                <w:rFonts w:asciiTheme="minorHAnsi" w:hAnsiTheme="minorHAnsi" w:cstheme="minorHAnsi"/>
                <w:color w:val="000000"/>
                <w:sz w:val="20"/>
                <w:szCs w:val="20"/>
              </w:rPr>
              <w:t>58,135</w:t>
            </w:r>
          </w:p>
        </w:tc>
        <w:tc>
          <w:tcPr>
            <w:tcW w:w="270" w:type="dxa"/>
            <w:tcBorders>
              <w:top w:val="nil"/>
              <w:left w:val="single" w:sz="4" w:space="0" w:color="BFBFBF" w:themeColor="background1" w:themeShade="BF"/>
              <w:bottom w:val="nil"/>
              <w:right w:val="single" w:sz="4" w:space="0" w:color="A6A6A6" w:themeColor="background1" w:themeShade="A6"/>
            </w:tcBorders>
          </w:tcPr>
          <w:p w14:paraId="05A39208"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tcBorders>
              <w:left w:val="single" w:sz="4" w:space="0" w:color="A6A6A6" w:themeColor="background1" w:themeShade="A6"/>
            </w:tcBorders>
            <w:vAlign w:val="center"/>
          </w:tcPr>
          <w:p w14:paraId="6F25E1EB"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1B58EA3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3D1ECEFF"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restart"/>
            <w:tcBorders>
              <w:top w:val="single" w:sz="4" w:space="0" w:color="A6A6A6" w:themeColor="background1" w:themeShade="A6"/>
            </w:tcBorders>
            <w:vAlign w:val="center"/>
          </w:tcPr>
          <w:p w14:paraId="61F7E640" w14:textId="77777777" w:rsidR="000E30E4" w:rsidRPr="00FA6338" w:rsidRDefault="00080FEE" w:rsidP="007D2490">
            <w:pPr>
              <w:spacing w:after="0"/>
              <w:jc w:val="center"/>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 xml:space="preserve">HT </w:t>
            </w:r>
            <w:r w:rsidR="000E30E4" w:rsidRPr="00FA6338">
              <w:rPr>
                <w:rFonts w:asciiTheme="minorHAnsi" w:hAnsiTheme="minorHAnsi" w:cstheme="minorHAnsi"/>
                <w:b/>
                <w:bCs/>
                <w:color w:val="000000"/>
                <w:sz w:val="20"/>
                <w:szCs w:val="20"/>
              </w:rPr>
              <w:t>Group 4</w:t>
            </w:r>
          </w:p>
          <w:p w14:paraId="7E490860" w14:textId="0AEBEE26" w:rsidR="000E30E4" w:rsidRPr="007D2490" w:rsidRDefault="000E30E4" w:rsidP="009A27DD">
            <w:pPr>
              <w:spacing w:after="0"/>
              <w:jc w:val="center"/>
              <w:rPr>
                <w:rFonts w:asciiTheme="minorHAnsi" w:hAnsiTheme="minorHAnsi" w:cstheme="minorHAnsi"/>
                <w:color w:val="000000"/>
                <w:sz w:val="20"/>
                <w:szCs w:val="20"/>
              </w:rPr>
            </w:pPr>
            <w:r w:rsidRPr="00FA6338">
              <w:rPr>
                <w:rFonts w:asciiTheme="minorHAnsi" w:hAnsiTheme="minorHAnsi" w:cstheme="minorHAnsi"/>
                <w:b/>
                <w:bCs/>
                <w:color w:val="000000"/>
                <w:sz w:val="20"/>
                <w:szCs w:val="20"/>
              </w:rPr>
              <w:t>£</w:t>
            </w:r>
            <w:r w:rsidR="0051417E" w:rsidRPr="00FA6338">
              <w:rPr>
                <w:rFonts w:asciiTheme="minorHAnsi" w:hAnsiTheme="minorHAnsi" w:cstheme="minorHAnsi"/>
                <w:b/>
                <w:bCs/>
                <w:color w:val="000000"/>
                <w:sz w:val="20"/>
                <w:szCs w:val="20"/>
              </w:rPr>
              <w:t>58,13</w:t>
            </w:r>
            <w:r w:rsidR="00C049A8" w:rsidRPr="00FA6338">
              <w:rPr>
                <w:rFonts w:asciiTheme="minorHAnsi" w:hAnsiTheme="minorHAnsi" w:cstheme="minorHAnsi"/>
                <w:b/>
                <w:bCs/>
                <w:color w:val="000000"/>
                <w:sz w:val="20"/>
                <w:szCs w:val="20"/>
              </w:rPr>
              <w:t>5</w:t>
            </w:r>
            <w:r w:rsidR="00FA6338" w:rsidRPr="00FA6338">
              <w:rPr>
                <w:rFonts w:asciiTheme="minorHAnsi" w:hAnsiTheme="minorHAnsi" w:cstheme="minorHAnsi"/>
                <w:b/>
                <w:bCs/>
                <w:color w:val="000000"/>
                <w:sz w:val="20"/>
                <w:szCs w:val="20"/>
              </w:rPr>
              <w:t xml:space="preserve"> </w:t>
            </w:r>
            <w:r w:rsidRPr="00FA6338">
              <w:rPr>
                <w:rFonts w:asciiTheme="minorHAnsi" w:hAnsiTheme="minorHAnsi" w:cstheme="minorHAnsi"/>
                <w:b/>
                <w:bCs/>
                <w:color w:val="000000"/>
                <w:sz w:val="20"/>
                <w:szCs w:val="20"/>
              </w:rPr>
              <w:t>- £</w:t>
            </w:r>
            <w:r w:rsidR="0051417E" w:rsidRPr="00FA6338">
              <w:rPr>
                <w:rFonts w:asciiTheme="minorHAnsi" w:hAnsiTheme="minorHAnsi" w:cstheme="minorHAnsi"/>
                <w:b/>
                <w:bCs/>
                <w:color w:val="000000"/>
                <w:sz w:val="20"/>
                <w:szCs w:val="20"/>
              </w:rPr>
              <w:t>79,167</w:t>
            </w:r>
          </w:p>
        </w:tc>
        <w:tc>
          <w:tcPr>
            <w:tcW w:w="881" w:type="dxa"/>
            <w:tcBorders>
              <w:top w:val="nil"/>
              <w:bottom w:val="nil"/>
              <w:right w:val="nil"/>
            </w:tcBorders>
            <w:vAlign w:val="center"/>
          </w:tcPr>
          <w:p w14:paraId="52D356FD"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10BD1B87"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41D5C7EF"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left w:val="nil"/>
              <w:bottom w:val="nil"/>
              <w:right w:val="nil"/>
            </w:tcBorders>
            <w:vAlign w:val="center"/>
          </w:tcPr>
          <w:p w14:paraId="4163F703"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4B02A2C9"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6786362"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L15</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3897B92" w14:textId="05141F46" w:rsidR="000E30E4" w:rsidRPr="007D2490" w:rsidRDefault="00F95B91" w:rsidP="00080FEE">
            <w:pPr>
              <w:spacing w:after="0"/>
              <w:jc w:val="right"/>
              <w:rPr>
                <w:rFonts w:asciiTheme="minorHAnsi" w:hAnsiTheme="minorHAnsi" w:cstheme="minorHAnsi"/>
                <w:color w:val="000000"/>
                <w:sz w:val="20"/>
                <w:szCs w:val="20"/>
              </w:rPr>
            </w:pPr>
            <w:r>
              <w:rPr>
                <w:rFonts w:asciiTheme="minorHAnsi" w:hAnsiTheme="minorHAnsi" w:cstheme="minorHAnsi"/>
                <w:color w:val="000000"/>
                <w:sz w:val="20"/>
                <w:szCs w:val="20"/>
              </w:rPr>
              <w:t>£</w:t>
            </w:r>
            <w:r w:rsidR="00A61664">
              <w:rPr>
                <w:rFonts w:asciiTheme="minorHAnsi" w:hAnsiTheme="minorHAnsi" w:cstheme="minorHAnsi"/>
                <w:color w:val="000000"/>
                <w:sz w:val="20"/>
                <w:szCs w:val="20"/>
              </w:rPr>
              <w:t>59,581</w:t>
            </w:r>
          </w:p>
        </w:tc>
        <w:tc>
          <w:tcPr>
            <w:tcW w:w="270" w:type="dxa"/>
            <w:tcBorders>
              <w:top w:val="nil"/>
              <w:left w:val="single" w:sz="4" w:space="0" w:color="BFBFBF" w:themeColor="background1" w:themeShade="BF"/>
              <w:bottom w:val="nil"/>
              <w:right w:val="single" w:sz="4" w:space="0" w:color="A6A6A6" w:themeColor="background1" w:themeShade="A6"/>
            </w:tcBorders>
          </w:tcPr>
          <w:p w14:paraId="2C56692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tcBorders>
              <w:left w:val="single" w:sz="4" w:space="0" w:color="A6A6A6" w:themeColor="background1" w:themeShade="A6"/>
            </w:tcBorders>
            <w:vAlign w:val="center"/>
          </w:tcPr>
          <w:p w14:paraId="0A0BEFB5"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06F7A8A2"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660CF2F7"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19D1DCB4"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bottom w:val="nil"/>
              <w:right w:val="nil"/>
            </w:tcBorders>
            <w:vAlign w:val="center"/>
          </w:tcPr>
          <w:p w14:paraId="230C993E"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355FADAD"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32968AA2"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left w:val="nil"/>
              <w:bottom w:val="nil"/>
              <w:right w:val="nil"/>
            </w:tcBorders>
            <w:vAlign w:val="center"/>
          </w:tcPr>
          <w:p w14:paraId="545138F3"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3B1C18E7"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F2BD110"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L16</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F0016B3" w14:textId="5F28BD65" w:rsidR="000E30E4" w:rsidRPr="007D2490" w:rsidRDefault="00F95B91" w:rsidP="00080FEE">
            <w:pPr>
              <w:spacing w:after="0"/>
              <w:jc w:val="right"/>
              <w:rPr>
                <w:rFonts w:asciiTheme="minorHAnsi" w:hAnsiTheme="minorHAnsi" w:cstheme="minorHAnsi"/>
                <w:color w:val="000000"/>
                <w:sz w:val="20"/>
                <w:szCs w:val="20"/>
              </w:rPr>
            </w:pPr>
            <w:r>
              <w:rPr>
                <w:rFonts w:asciiTheme="minorHAnsi" w:hAnsiTheme="minorHAnsi" w:cstheme="minorHAnsi"/>
                <w:color w:val="000000"/>
                <w:sz w:val="20"/>
                <w:szCs w:val="20"/>
              </w:rPr>
              <w:t>£</w:t>
            </w:r>
            <w:r w:rsidR="00A61664">
              <w:rPr>
                <w:rFonts w:asciiTheme="minorHAnsi" w:hAnsiTheme="minorHAnsi" w:cstheme="minorHAnsi"/>
                <w:color w:val="000000"/>
                <w:sz w:val="20"/>
                <w:szCs w:val="20"/>
              </w:rPr>
              <w:t>61,166</w:t>
            </w:r>
          </w:p>
        </w:tc>
        <w:tc>
          <w:tcPr>
            <w:tcW w:w="270" w:type="dxa"/>
            <w:tcBorders>
              <w:top w:val="nil"/>
              <w:left w:val="single" w:sz="4" w:space="0" w:color="BFBFBF" w:themeColor="background1" w:themeShade="BF"/>
              <w:bottom w:val="nil"/>
              <w:right w:val="single" w:sz="4" w:space="0" w:color="A6A6A6" w:themeColor="background1" w:themeShade="A6"/>
            </w:tcBorders>
          </w:tcPr>
          <w:p w14:paraId="11739A3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tcBorders>
              <w:left w:val="single" w:sz="4" w:space="0" w:color="A6A6A6" w:themeColor="background1" w:themeShade="A6"/>
            </w:tcBorders>
            <w:vAlign w:val="center"/>
          </w:tcPr>
          <w:p w14:paraId="1AF0B509"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1F5DC774"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6BB974EB"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44C75C06"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bottom w:val="nil"/>
              <w:right w:val="nil"/>
            </w:tcBorders>
            <w:vAlign w:val="center"/>
          </w:tcPr>
          <w:p w14:paraId="2F222760"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4C4D5582"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4DD62894"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left w:val="nil"/>
              <w:bottom w:val="nil"/>
              <w:right w:val="nil"/>
            </w:tcBorders>
            <w:vAlign w:val="center"/>
          </w:tcPr>
          <w:p w14:paraId="2BDF9321"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5C64678E"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FF42D6F"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L17</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57FDB29" w14:textId="38F6C381" w:rsidR="000E30E4" w:rsidRPr="007D2490" w:rsidRDefault="00F95B91" w:rsidP="00080FEE">
            <w:pPr>
              <w:spacing w:after="0"/>
              <w:jc w:val="right"/>
              <w:rPr>
                <w:rFonts w:asciiTheme="minorHAnsi" w:hAnsiTheme="minorHAnsi" w:cstheme="minorHAnsi"/>
                <w:color w:val="000000"/>
                <w:sz w:val="20"/>
                <w:szCs w:val="20"/>
              </w:rPr>
            </w:pPr>
            <w:r>
              <w:rPr>
                <w:rFonts w:asciiTheme="minorHAnsi" w:hAnsiTheme="minorHAnsi" w:cstheme="minorHAnsi"/>
                <w:color w:val="000000"/>
                <w:sz w:val="20"/>
                <w:szCs w:val="20"/>
              </w:rPr>
              <w:t>£</w:t>
            </w:r>
            <w:r w:rsidR="00A61664">
              <w:rPr>
                <w:rFonts w:asciiTheme="minorHAnsi" w:hAnsiTheme="minorHAnsi" w:cstheme="minorHAnsi"/>
                <w:color w:val="000000"/>
                <w:sz w:val="20"/>
                <w:szCs w:val="20"/>
              </w:rPr>
              <w:t>62,570</w:t>
            </w:r>
          </w:p>
        </w:tc>
        <w:tc>
          <w:tcPr>
            <w:tcW w:w="270" w:type="dxa"/>
            <w:tcBorders>
              <w:top w:val="nil"/>
              <w:left w:val="single" w:sz="4" w:space="0" w:color="BFBFBF" w:themeColor="background1" w:themeShade="BF"/>
              <w:bottom w:val="nil"/>
              <w:right w:val="single" w:sz="4" w:space="0" w:color="A6A6A6" w:themeColor="background1" w:themeShade="A6"/>
            </w:tcBorders>
          </w:tcPr>
          <w:p w14:paraId="65077395"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tcBorders>
              <w:left w:val="single" w:sz="4" w:space="0" w:color="A6A6A6" w:themeColor="background1" w:themeShade="A6"/>
            </w:tcBorders>
            <w:vAlign w:val="center"/>
          </w:tcPr>
          <w:p w14:paraId="69EA041A"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51AC45A4"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58F8898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51C00D67"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bottom w:val="nil"/>
              <w:right w:val="nil"/>
            </w:tcBorders>
            <w:vAlign w:val="center"/>
          </w:tcPr>
          <w:p w14:paraId="4FCF05B4"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541AA9B3"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1DED13AB"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left w:val="nil"/>
              <w:bottom w:val="nil"/>
              <w:right w:val="nil"/>
            </w:tcBorders>
            <w:vAlign w:val="center"/>
          </w:tcPr>
          <w:p w14:paraId="2B184038"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595737FC"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2E589CE" w14:textId="77777777" w:rsidR="000E30E4" w:rsidRPr="00FA6338" w:rsidRDefault="000E30E4" w:rsidP="007D2490">
            <w:pPr>
              <w:spacing w:after="0"/>
              <w:jc w:val="right"/>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L18*</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AE467CD" w14:textId="1E2F60EC" w:rsidR="000E30E4" w:rsidRPr="00FA6338" w:rsidRDefault="000E30E4" w:rsidP="00BF4222">
            <w:pPr>
              <w:spacing w:after="0"/>
              <w:jc w:val="right"/>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w:t>
            </w:r>
            <w:r w:rsidR="00A61664" w:rsidRPr="00FA6338">
              <w:rPr>
                <w:rFonts w:asciiTheme="minorHAnsi" w:hAnsiTheme="minorHAnsi" w:cstheme="minorHAnsi"/>
                <w:b/>
                <w:bCs/>
                <w:color w:val="000000"/>
                <w:sz w:val="20"/>
                <w:szCs w:val="20"/>
              </w:rPr>
              <w:t>63,508</w:t>
            </w:r>
          </w:p>
        </w:tc>
        <w:tc>
          <w:tcPr>
            <w:tcW w:w="270" w:type="dxa"/>
            <w:tcBorders>
              <w:top w:val="nil"/>
              <w:left w:val="single" w:sz="4" w:space="0" w:color="BFBFBF" w:themeColor="background1" w:themeShade="BF"/>
              <w:bottom w:val="nil"/>
              <w:right w:val="single" w:sz="4" w:space="0" w:color="A6A6A6" w:themeColor="background1" w:themeShade="A6"/>
            </w:tcBorders>
          </w:tcPr>
          <w:p w14:paraId="776ECD48"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tcBorders>
              <w:left w:val="single" w:sz="4" w:space="0" w:color="A6A6A6" w:themeColor="background1" w:themeShade="A6"/>
              <w:bottom w:val="single" w:sz="4" w:space="0" w:color="A6A6A6" w:themeColor="background1" w:themeShade="A6"/>
            </w:tcBorders>
            <w:vAlign w:val="center"/>
          </w:tcPr>
          <w:p w14:paraId="70C62AA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7D5E5CD8"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281CBC23"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716A535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right w:val="nil"/>
            </w:tcBorders>
            <w:vAlign w:val="center"/>
          </w:tcPr>
          <w:p w14:paraId="170B4B0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27493384"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3E4A13BD"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left w:val="nil"/>
              <w:bottom w:val="nil"/>
              <w:right w:val="nil"/>
            </w:tcBorders>
            <w:vAlign w:val="center"/>
          </w:tcPr>
          <w:p w14:paraId="3AE409C2"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3F03CCE6"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20B9697"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L18</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19CE2BE" w14:textId="6E9E8E32" w:rsidR="000E30E4" w:rsidRPr="007D2490" w:rsidRDefault="000E30E4" w:rsidP="001E5814">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A61664">
              <w:rPr>
                <w:rFonts w:asciiTheme="minorHAnsi" w:hAnsiTheme="minorHAnsi" w:cstheme="minorHAnsi"/>
                <w:color w:val="000000"/>
                <w:sz w:val="20"/>
                <w:szCs w:val="20"/>
              </w:rPr>
              <w:t>64,143</w:t>
            </w:r>
          </w:p>
        </w:tc>
        <w:tc>
          <w:tcPr>
            <w:tcW w:w="270" w:type="dxa"/>
            <w:tcBorders>
              <w:top w:val="nil"/>
              <w:left w:val="single" w:sz="4" w:space="0" w:color="BFBFBF" w:themeColor="background1" w:themeShade="BF"/>
              <w:bottom w:val="nil"/>
              <w:right w:val="nil"/>
            </w:tcBorders>
          </w:tcPr>
          <w:p w14:paraId="4AB35C3B"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left w:val="nil"/>
              <w:bottom w:val="nil"/>
            </w:tcBorders>
            <w:vAlign w:val="center"/>
          </w:tcPr>
          <w:p w14:paraId="5DE61FAB"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6059D3F6"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71257355"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44C68475"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restart"/>
            <w:vAlign w:val="center"/>
          </w:tcPr>
          <w:p w14:paraId="0ED44AA8" w14:textId="77777777" w:rsidR="000E30E4" w:rsidRPr="00FA6338" w:rsidRDefault="00080FEE" w:rsidP="007D2490">
            <w:pPr>
              <w:spacing w:after="0"/>
              <w:jc w:val="center"/>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 xml:space="preserve">HT </w:t>
            </w:r>
            <w:r w:rsidR="000E30E4" w:rsidRPr="00FA6338">
              <w:rPr>
                <w:rFonts w:asciiTheme="minorHAnsi" w:hAnsiTheme="minorHAnsi" w:cstheme="minorHAnsi"/>
                <w:b/>
                <w:bCs/>
                <w:color w:val="000000"/>
                <w:sz w:val="20"/>
                <w:szCs w:val="20"/>
              </w:rPr>
              <w:t>Group 5</w:t>
            </w:r>
          </w:p>
          <w:p w14:paraId="0140D3D2" w14:textId="77777777" w:rsidR="000E30E4" w:rsidRPr="00FA6338" w:rsidRDefault="000E30E4" w:rsidP="007D2490">
            <w:pPr>
              <w:spacing w:after="0"/>
              <w:jc w:val="center"/>
              <w:rPr>
                <w:rFonts w:asciiTheme="minorHAnsi" w:hAnsiTheme="minorHAnsi" w:cstheme="minorHAnsi"/>
                <w:b/>
                <w:bCs/>
                <w:color w:val="000000"/>
                <w:sz w:val="20"/>
                <w:szCs w:val="20"/>
              </w:rPr>
            </w:pPr>
          </w:p>
          <w:p w14:paraId="2F0AC907" w14:textId="044580F2" w:rsidR="000E30E4" w:rsidRPr="007D2490" w:rsidRDefault="000E30E4" w:rsidP="009A27DD">
            <w:pPr>
              <w:spacing w:after="0"/>
              <w:jc w:val="center"/>
              <w:rPr>
                <w:rFonts w:asciiTheme="minorHAnsi" w:hAnsiTheme="minorHAnsi" w:cstheme="minorHAnsi"/>
                <w:color w:val="000000"/>
                <w:sz w:val="20"/>
                <w:szCs w:val="20"/>
              </w:rPr>
            </w:pPr>
            <w:r w:rsidRPr="00FA6338">
              <w:rPr>
                <w:rFonts w:asciiTheme="minorHAnsi" w:hAnsiTheme="minorHAnsi" w:cstheme="minorHAnsi"/>
                <w:b/>
                <w:bCs/>
                <w:color w:val="000000"/>
                <w:sz w:val="20"/>
                <w:szCs w:val="20"/>
              </w:rPr>
              <w:t>£</w:t>
            </w:r>
            <w:r w:rsidR="0051417E" w:rsidRPr="00FA6338">
              <w:rPr>
                <w:rFonts w:asciiTheme="minorHAnsi" w:hAnsiTheme="minorHAnsi" w:cstheme="minorHAnsi"/>
                <w:b/>
                <w:bCs/>
                <w:color w:val="000000"/>
                <w:sz w:val="20"/>
                <w:szCs w:val="20"/>
              </w:rPr>
              <w:t>64,143</w:t>
            </w:r>
            <w:r w:rsidR="00FA6338" w:rsidRPr="00FA6338">
              <w:rPr>
                <w:rFonts w:asciiTheme="minorHAnsi" w:hAnsiTheme="minorHAnsi" w:cstheme="minorHAnsi"/>
                <w:b/>
                <w:bCs/>
                <w:color w:val="000000"/>
                <w:sz w:val="20"/>
                <w:szCs w:val="20"/>
              </w:rPr>
              <w:t xml:space="preserve"> </w:t>
            </w:r>
            <w:r w:rsidRPr="00FA6338">
              <w:rPr>
                <w:rFonts w:asciiTheme="minorHAnsi" w:hAnsiTheme="minorHAnsi" w:cstheme="minorHAnsi"/>
                <w:b/>
                <w:bCs/>
                <w:color w:val="000000"/>
                <w:sz w:val="20"/>
                <w:szCs w:val="20"/>
              </w:rPr>
              <w:t>- £</w:t>
            </w:r>
            <w:r w:rsidR="0051417E" w:rsidRPr="00FA6338">
              <w:rPr>
                <w:rFonts w:asciiTheme="minorHAnsi" w:hAnsiTheme="minorHAnsi" w:cstheme="minorHAnsi"/>
                <w:b/>
                <w:bCs/>
                <w:color w:val="000000"/>
                <w:sz w:val="20"/>
                <w:szCs w:val="20"/>
              </w:rPr>
              <w:t>87,313</w:t>
            </w:r>
          </w:p>
        </w:tc>
        <w:tc>
          <w:tcPr>
            <w:tcW w:w="881" w:type="dxa"/>
            <w:tcBorders>
              <w:top w:val="nil"/>
              <w:bottom w:val="nil"/>
              <w:right w:val="nil"/>
            </w:tcBorders>
            <w:vAlign w:val="center"/>
          </w:tcPr>
          <w:p w14:paraId="4BCECBB0"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5769027B"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left w:val="nil"/>
              <w:bottom w:val="nil"/>
              <w:right w:val="nil"/>
            </w:tcBorders>
            <w:vAlign w:val="center"/>
          </w:tcPr>
          <w:p w14:paraId="7290FB40"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2C4049EF"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FD856C5"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L19</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985746B" w14:textId="28EF5AE3" w:rsidR="000E30E4" w:rsidRPr="007D2490" w:rsidRDefault="00F95B91" w:rsidP="00080FEE">
            <w:pPr>
              <w:spacing w:after="0"/>
              <w:jc w:val="right"/>
              <w:rPr>
                <w:rFonts w:asciiTheme="minorHAnsi" w:hAnsiTheme="minorHAnsi" w:cstheme="minorHAnsi"/>
                <w:color w:val="000000"/>
                <w:sz w:val="20"/>
                <w:szCs w:val="20"/>
              </w:rPr>
            </w:pPr>
            <w:r>
              <w:rPr>
                <w:rFonts w:asciiTheme="minorHAnsi" w:hAnsiTheme="minorHAnsi" w:cstheme="minorHAnsi"/>
                <w:color w:val="000000"/>
                <w:sz w:val="20"/>
                <w:szCs w:val="20"/>
              </w:rPr>
              <w:t>£</w:t>
            </w:r>
            <w:r w:rsidR="00A61664">
              <w:rPr>
                <w:rFonts w:asciiTheme="minorHAnsi" w:hAnsiTheme="minorHAnsi" w:cstheme="minorHAnsi"/>
                <w:color w:val="000000"/>
                <w:sz w:val="20"/>
                <w:szCs w:val="20"/>
              </w:rPr>
              <w:t>65,735</w:t>
            </w:r>
          </w:p>
        </w:tc>
        <w:tc>
          <w:tcPr>
            <w:tcW w:w="270" w:type="dxa"/>
            <w:tcBorders>
              <w:top w:val="nil"/>
              <w:left w:val="single" w:sz="4" w:space="0" w:color="BFBFBF" w:themeColor="background1" w:themeShade="BF"/>
              <w:bottom w:val="nil"/>
              <w:right w:val="nil"/>
            </w:tcBorders>
          </w:tcPr>
          <w:p w14:paraId="0FD01733"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3D16A96A"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296E0F97"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7E58E3A7"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332268AB"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4A162A48"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bottom w:val="nil"/>
              <w:right w:val="nil"/>
            </w:tcBorders>
            <w:vAlign w:val="center"/>
          </w:tcPr>
          <w:p w14:paraId="4F60F4E8"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55A03F92"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left w:val="nil"/>
              <w:bottom w:val="nil"/>
              <w:right w:val="nil"/>
            </w:tcBorders>
            <w:vAlign w:val="center"/>
          </w:tcPr>
          <w:p w14:paraId="7FB3B554"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40F28A48"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9611763"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L20</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CB0854" w14:textId="6B9BBE3C" w:rsidR="000E30E4" w:rsidRPr="007D2490" w:rsidRDefault="00A61664" w:rsidP="00080FEE">
            <w:pPr>
              <w:spacing w:after="0"/>
              <w:jc w:val="right"/>
              <w:rPr>
                <w:rFonts w:asciiTheme="minorHAnsi" w:hAnsiTheme="minorHAnsi" w:cstheme="minorHAnsi"/>
                <w:color w:val="000000"/>
                <w:sz w:val="20"/>
                <w:szCs w:val="20"/>
              </w:rPr>
            </w:pPr>
            <w:r>
              <w:rPr>
                <w:rFonts w:asciiTheme="minorHAnsi" w:hAnsiTheme="minorHAnsi" w:cstheme="minorHAnsi"/>
                <w:color w:val="000000"/>
                <w:sz w:val="20"/>
                <w:szCs w:val="20"/>
              </w:rPr>
              <w:t>£67,364</w:t>
            </w:r>
          </w:p>
        </w:tc>
        <w:tc>
          <w:tcPr>
            <w:tcW w:w="270" w:type="dxa"/>
            <w:tcBorders>
              <w:top w:val="nil"/>
              <w:left w:val="single" w:sz="4" w:space="0" w:color="BFBFBF" w:themeColor="background1" w:themeShade="BF"/>
              <w:bottom w:val="nil"/>
              <w:right w:val="nil"/>
            </w:tcBorders>
          </w:tcPr>
          <w:p w14:paraId="740B76C6"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76D87839"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69890AEE"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49753FC6"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321C7DAD"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0A0E1B29"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bottom w:val="nil"/>
              <w:right w:val="nil"/>
            </w:tcBorders>
            <w:vAlign w:val="center"/>
          </w:tcPr>
          <w:p w14:paraId="5A34A80B"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311F9805"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left w:val="nil"/>
              <w:bottom w:val="nil"/>
              <w:right w:val="nil"/>
            </w:tcBorders>
            <w:vAlign w:val="center"/>
          </w:tcPr>
          <w:p w14:paraId="2417D27B"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138D0765"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3AFBE94" w14:textId="77777777" w:rsidR="000E30E4" w:rsidRPr="00FA6338" w:rsidRDefault="000E30E4" w:rsidP="000E30E4">
            <w:pPr>
              <w:spacing w:after="0"/>
              <w:jc w:val="right"/>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L21*</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82F061C" w14:textId="6EB9E364" w:rsidR="000E30E4" w:rsidRPr="00FA6338" w:rsidRDefault="00F95B91" w:rsidP="00BF4222">
            <w:pPr>
              <w:spacing w:after="0"/>
              <w:jc w:val="right"/>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w:t>
            </w:r>
            <w:r w:rsidR="00A61664" w:rsidRPr="00FA6338">
              <w:rPr>
                <w:rFonts w:asciiTheme="minorHAnsi" w:hAnsiTheme="minorHAnsi" w:cstheme="minorHAnsi"/>
                <w:b/>
                <w:bCs/>
                <w:color w:val="000000"/>
                <w:sz w:val="20"/>
                <w:szCs w:val="20"/>
              </w:rPr>
              <w:t>68,347</w:t>
            </w:r>
          </w:p>
        </w:tc>
        <w:tc>
          <w:tcPr>
            <w:tcW w:w="270" w:type="dxa"/>
            <w:tcBorders>
              <w:top w:val="nil"/>
              <w:left w:val="single" w:sz="4" w:space="0" w:color="BFBFBF" w:themeColor="background1" w:themeShade="BF"/>
              <w:bottom w:val="nil"/>
              <w:right w:val="nil"/>
            </w:tcBorders>
          </w:tcPr>
          <w:p w14:paraId="3F0A51EA"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09F54DA9"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tcBorders>
              <w:bottom w:val="single" w:sz="4" w:space="0" w:color="A6A6A6" w:themeColor="background1" w:themeShade="A6"/>
            </w:tcBorders>
            <w:vAlign w:val="center"/>
          </w:tcPr>
          <w:p w14:paraId="22B10318"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7BD07A1F"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07E9DF44"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3226EBAD"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right w:val="nil"/>
            </w:tcBorders>
            <w:vAlign w:val="center"/>
          </w:tcPr>
          <w:p w14:paraId="1A2C19A0"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28DFD76F"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left w:val="nil"/>
              <w:bottom w:val="nil"/>
              <w:right w:val="nil"/>
            </w:tcBorders>
            <w:vAlign w:val="center"/>
          </w:tcPr>
          <w:p w14:paraId="2E587BAA"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427DF498"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46170FB"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L21</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9380501" w14:textId="20899045" w:rsidR="000E30E4" w:rsidRPr="007D2490" w:rsidRDefault="000E30E4" w:rsidP="00080FEE">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A61664">
              <w:rPr>
                <w:rFonts w:asciiTheme="minorHAnsi" w:hAnsiTheme="minorHAnsi" w:cstheme="minorHAnsi"/>
                <w:color w:val="000000"/>
                <w:sz w:val="20"/>
                <w:szCs w:val="20"/>
              </w:rPr>
              <w:t>69,031</w:t>
            </w:r>
          </w:p>
        </w:tc>
        <w:tc>
          <w:tcPr>
            <w:tcW w:w="270" w:type="dxa"/>
            <w:tcBorders>
              <w:top w:val="nil"/>
              <w:left w:val="single" w:sz="4" w:space="0" w:color="BFBFBF" w:themeColor="background1" w:themeShade="BF"/>
              <w:bottom w:val="nil"/>
              <w:right w:val="nil"/>
            </w:tcBorders>
          </w:tcPr>
          <w:p w14:paraId="0524DD92"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7254D439"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left w:val="nil"/>
              <w:bottom w:val="nil"/>
            </w:tcBorders>
            <w:vAlign w:val="center"/>
          </w:tcPr>
          <w:p w14:paraId="3B5E72A9"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3161A339"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09BF95C8"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15E1C57E"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restart"/>
            <w:vAlign w:val="center"/>
          </w:tcPr>
          <w:p w14:paraId="6D222327" w14:textId="77777777" w:rsidR="00FA6338" w:rsidRDefault="00080FEE" w:rsidP="007D2490">
            <w:pPr>
              <w:spacing w:after="0"/>
              <w:jc w:val="center"/>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 xml:space="preserve">HT </w:t>
            </w:r>
            <w:r w:rsidR="000E30E4" w:rsidRPr="00FA6338">
              <w:rPr>
                <w:rFonts w:asciiTheme="minorHAnsi" w:hAnsiTheme="minorHAnsi" w:cstheme="minorHAnsi"/>
                <w:b/>
                <w:bCs/>
                <w:color w:val="000000"/>
                <w:sz w:val="20"/>
                <w:szCs w:val="20"/>
              </w:rPr>
              <w:t xml:space="preserve">Group </w:t>
            </w:r>
          </w:p>
          <w:p w14:paraId="11623038" w14:textId="79708819" w:rsidR="000E30E4" w:rsidRPr="00FA6338" w:rsidRDefault="000E30E4" w:rsidP="007D2490">
            <w:pPr>
              <w:spacing w:after="0"/>
              <w:jc w:val="center"/>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6</w:t>
            </w:r>
          </w:p>
          <w:p w14:paraId="7EE085B8" w14:textId="77777777" w:rsidR="000E30E4" w:rsidRPr="00FA6338" w:rsidRDefault="000E30E4" w:rsidP="007D2490">
            <w:pPr>
              <w:spacing w:after="0"/>
              <w:jc w:val="center"/>
              <w:rPr>
                <w:rFonts w:asciiTheme="minorHAnsi" w:hAnsiTheme="minorHAnsi" w:cstheme="minorHAnsi"/>
                <w:b/>
                <w:bCs/>
                <w:color w:val="000000"/>
                <w:sz w:val="20"/>
                <w:szCs w:val="20"/>
              </w:rPr>
            </w:pPr>
          </w:p>
          <w:p w14:paraId="0676D896" w14:textId="7BAC9850" w:rsidR="000E30E4" w:rsidRPr="007D2490" w:rsidRDefault="000E30E4" w:rsidP="009A27DD">
            <w:pPr>
              <w:spacing w:after="0"/>
              <w:jc w:val="center"/>
              <w:rPr>
                <w:rFonts w:asciiTheme="minorHAnsi" w:hAnsiTheme="minorHAnsi" w:cstheme="minorHAnsi"/>
                <w:color w:val="000000"/>
                <w:sz w:val="20"/>
                <w:szCs w:val="20"/>
              </w:rPr>
            </w:pPr>
            <w:r w:rsidRPr="00FA6338">
              <w:rPr>
                <w:rFonts w:asciiTheme="minorHAnsi" w:hAnsiTheme="minorHAnsi" w:cstheme="minorHAnsi"/>
                <w:b/>
                <w:bCs/>
                <w:color w:val="000000"/>
                <w:sz w:val="20"/>
                <w:szCs w:val="20"/>
              </w:rPr>
              <w:t>£</w:t>
            </w:r>
            <w:r w:rsidR="0051417E" w:rsidRPr="00FA6338">
              <w:rPr>
                <w:rFonts w:asciiTheme="minorHAnsi" w:hAnsiTheme="minorHAnsi" w:cstheme="minorHAnsi"/>
                <w:b/>
                <w:bCs/>
                <w:color w:val="000000"/>
                <w:sz w:val="20"/>
                <w:szCs w:val="20"/>
              </w:rPr>
              <w:t>69,031</w:t>
            </w:r>
            <w:r w:rsidRPr="00FA6338">
              <w:rPr>
                <w:rFonts w:asciiTheme="minorHAnsi" w:hAnsiTheme="minorHAnsi" w:cstheme="minorHAnsi"/>
                <w:b/>
                <w:bCs/>
                <w:color w:val="000000"/>
                <w:sz w:val="20"/>
                <w:szCs w:val="20"/>
              </w:rPr>
              <w:t>- £</w:t>
            </w:r>
            <w:r w:rsidR="0051417E" w:rsidRPr="00FA6338">
              <w:rPr>
                <w:rFonts w:asciiTheme="minorHAnsi" w:hAnsiTheme="minorHAnsi" w:cstheme="minorHAnsi"/>
                <w:b/>
                <w:bCs/>
                <w:color w:val="000000"/>
                <w:sz w:val="20"/>
                <w:szCs w:val="20"/>
              </w:rPr>
              <w:t>96,310</w:t>
            </w:r>
          </w:p>
        </w:tc>
        <w:tc>
          <w:tcPr>
            <w:tcW w:w="881" w:type="dxa"/>
            <w:tcBorders>
              <w:top w:val="nil"/>
              <w:bottom w:val="nil"/>
              <w:right w:val="nil"/>
            </w:tcBorders>
            <w:vAlign w:val="center"/>
          </w:tcPr>
          <w:p w14:paraId="185FA5F8"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left w:val="nil"/>
              <w:bottom w:val="nil"/>
              <w:right w:val="nil"/>
            </w:tcBorders>
            <w:vAlign w:val="center"/>
          </w:tcPr>
          <w:p w14:paraId="286EECC4"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08B5E564"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51D3971"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L22</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D31962A" w14:textId="1557DBC4" w:rsidR="000E30E4" w:rsidRPr="007D2490" w:rsidRDefault="000E30E4" w:rsidP="00080FEE">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A61664">
              <w:rPr>
                <w:rFonts w:asciiTheme="minorHAnsi" w:hAnsiTheme="minorHAnsi" w:cstheme="minorHAnsi"/>
                <w:color w:val="000000"/>
                <w:sz w:val="20"/>
                <w:szCs w:val="20"/>
              </w:rPr>
              <w:t>70,745</w:t>
            </w:r>
          </w:p>
        </w:tc>
        <w:tc>
          <w:tcPr>
            <w:tcW w:w="270" w:type="dxa"/>
            <w:tcBorders>
              <w:top w:val="nil"/>
              <w:left w:val="single" w:sz="4" w:space="0" w:color="BFBFBF" w:themeColor="background1" w:themeShade="BF"/>
              <w:bottom w:val="nil"/>
              <w:right w:val="nil"/>
            </w:tcBorders>
          </w:tcPr>
          <w:p w14:paraId="725ABBA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1DDE9D6A"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00499C97"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2308FF5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2B39303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4BFC3E6B"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26F379C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bottom w:val="nil"/>
              <w:right w:val="nil"/>
            </w:tcBorders>
            <w:vAlign w:val="center"/>
          </w:tcPr>
          <w:p w14:paraId="6594424D"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left w:val="nil"/>
              <w:bottom w:val="nil"/>
              <w:right w:val="nil"/>
            </w:tcBorders>
            <w:vAlign w:val="center"/>
          </w:tcPr>
          <w:p w14:paraId="03C070D9"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5CAB7102"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52DD56A"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L23</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A61242B" w14:textId="6696AFB0" w:rsidR="000E30E4" w:rsidRPr="007D2490" w:rsidRDefault="000E30E4" w:rsidP="00080FEE">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A61664">
              <w:rPr>
                <w:rFonts w:asciiTheme="minorHAnsi" w:hAnsiTheme="minorHAnsi" w:cstheme="minorHAnsi"/>
                <w:color w:val="000000"/>
                <w:sz w:val="20"/>
                <w:szCs w:val="20"/>
              </w:rPr>
              <w:t>72,497</w:t>
            </w:r>
          </w:p>
        </w:tc>
        <w:tc>
          <w:tcPr>
            <w:tcW w:w="270" w:type="dxa"/>
            <w:tcBorders>
              <w:top w:val="nil"/>
              <w:left w:val="single" w:sz="4" w:space="0" w:color="BFBFBF" w:themeColor="background1" w:themeShade="BF"/>
              <w:bottom w:val="nil"/>
              <w:right w:val="nil"/>
            </w:tcBorders>
          </w:tcPr>
          <w:p w14:paraId="4BB5453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042DF0CF"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717BD8CA"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3738A1F0"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12A9450A"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02CA43BD"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2495587E"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bottom w:val="nil"/>
              <w:right w:val="nil"/>
            </w:tcBorders>
            <w:vAlign w:val="center"/>
          </w:tcPr>
          <w:p w14:paraId="1070A169"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left w:val="nil"/>
              <w:bottom w:val="nil"/>
              <w:right w:val="nil"/>
            </w:tcBorders>
            <w:vAlign w:val="center"/>
          </w:tcPr>
          <w:p w14:paraId="4BECF623"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430A5356"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81B40D4" w14:textId="77777777" w:rsidR="000E30E4" w:rsidRPr="00FA6338" w:rsidRDefault="000E30E4" w:rsidP="007D2490">
            <w:pPr>
              <w:spacing w:after="0"/>
              <w:jc w:val="right"/>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L24*</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892DC76" w14:textId="3DDEE9B3" w:rsidR="000E30E4" w:rsidRPr="00FA6338" w:rsidRDefault="000E30E4" w:rsidP="00BF4222">
            <w:pPr>
              <w:spacing w:after="0"/>
              <w:jc w:val="right"/>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w:t>
            </w:r>
            <w:r w:rsidR="00A61664" w:rsidRPr="00FA6338">
              <w:rPr>
                <w:rFonts w:asciiTheme="minorHAnsi" w:hAnsiTheme="minorHAnsi" w:cstheme="minorHAnsi"/>
                <w:b/>
                <w:bCs/>
                <w:color w:val="000000"/>
                <w:sz w:val="20"/>
                <w:szCs w:val="20"/>
              </w:rPr>
              <w:t>73,559</w:t>
            </w:r>
          </w:p>
        </w:tc>
        <w:tc>
          <w:tcPr>
            <w:tcW w:w="270" w:type="dxa"/>
            <w:tcBorders>
              <w:top w:val="nil"/>
              <w:left w:val="single" w:sz="4" w:space="0" w:color="BFBFBF" w:themeColor="background1" w:themeShade="BF"/>
              <w:bottom w:val="nil"/>
              <w:right w:val="nil"/>
            </w:tcBorders>
          </w:tcPr>
          <w:p w14:paraId="05204D5F"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4344F952"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481DA764"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tcBorders>
              <w:bottom w:val="single" w:sz="4" w:space="0" w:color="A6A6A6" w:themeColor="background1" w:themeShade="A6"/>
            </w:tcBorders>
            <w:vAlign w:val="center"/>
          </w:tcPr>
          <w:p w14:paraId="34AB70AF"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300EBCBF"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406BB6B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7F4C6CD4"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right w:val="nil"/>
            </w:tcBorders>
            <w:vAlign w:val="center"/>
          </w:tcPr>
          <w:p w14:paraId="31F7FAA0"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left w:val="nil"/>
              <w:bottom w:val="nil"/>
              <w:right w:val="nil"/>
            </w:tcBorders>
            <w:vAlign w:val="center"/>
          </w:tcPr>
          <w:p w14:paraId="11569E79"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7AE26538"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E2BD9BD"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L24</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34D1D25" w14:textId="5896E9EA" w:rsidR="000E30E4" w:rsidRPr="007D2490" w:rsidRDefault="00F95B91" w:rsidP="00080FEE">
            <w:pPr>
              <w:spacing w:after="0"/>
              <w:jc w:val="right"/>
              <w:rPr>
                <w:rFonts w:asciiTheme="minorHAnsi" w:hAnsiTheme="minorHAnsi" w:cstheme="minorHAnsi"/>
                <w:color w:val="000000"/>
                <w:sz w:val="20"/>
                <w:szCs w:val="20"/>
              </w:rPr>
            </w:pPr>
            <w:r>
              <w:rPr>
                <w:rFonts w:asciiTheme="minorHAnsi" w:hAnsiTheme="minorHAnsi" w:cstheme="minorHAnsi"/>
                <w:color w:val="000000"/>
                <w:sz w:val="20"/>
                <w:szCs w:val="20"/>
              </w:rPr>
              <w:t>£</w:t>
            </w:r>
            <w:r w:rsidR="00A61664">
              <w:rPr>
                <w:rFonts w:asciiTheme="minorHAnsi" w:hAnsiTheme="minorHAnsi" w:cstheme="minorHAnsi"/>
                <w:color w:val="000000"/>
                <w:sz w:val="20"/>
                <w:szCs w:val="20"/>
              </w:rPr>
              <w:t>74,29</w:t>
            </w:r>
            <w:r w:rsidR="001328A1">
              <w:rPr>
                <w:rFonts w:asciiTheme="minorHAnsi" w:hAnsiTheme="minorHAnsi" w:cstheme="minorHAnsi"/>
                <w:color w:val="000000"/>
                <w:sz w:val="20"/>
                <w:szCs w:val="20"/>
              </w:rPr>
              <w:t>5</w:t>
            </w:r>
          </w:p>
        </w:tc>
        <w:tc>
          <w:tcPr>
            <w:tcW w:w="270" w:type="dxa"/>
            <w:tcBorders>
              <w:top w:val="nil"/>
              <w:left w:val="single" w:sz="4" w:space="0" w:color="BFBFBF" w:themeColor="background1" w:themeShade="BF"/>
              <w:bottom w:val="nil"/>
              <w:right w:val="nil"/>
            </w:tcBorders>
          </w:tcPr>
          <w:p w14:paraId="70640D73"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4964DC1A"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3D5CBDDE"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left w:val="nil"/>
              <w:bottom w:val="nil"/>
            </w:tcBorders>
            <w:vAlign w:val="center"/>
          </w:tcPr>
          <w:p w14:paraId="29ECC11F"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7AB98312"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39E64E50"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535727CE"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restart"/>
            <w:vAlign w:val="center"/>
          </w:tcPr>
          <w:p w14:paraId="3A3868D5" w14:textId="77777777" w:rsidR="00FA6338" w:rsidRPr="00FA6338" w:rsidRDefault="00080FEE" w:rsidP="007D2490">
            <w:pPr>
              <w:spacing w:after="0"/>
              <w:jc w:val="center"/>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 xml:space="preserve">HT </w:t>
            </w:r>
            <w:r w:rsidR="000E30E4" w:rsidRPr="00FA6338">
              <w:rPr>
                <w:rFonts w:asciiTheme="minorHAnsi" w:hAnsiTheme="minorHAnsi" w:cstheme="minorHAnsi"/>
                <w:b/>
                <w:bCs/>
                <w:color w:val="000000"/>
                <w:sz w:val="20"/>
                <w:szCs w:val="20"/>
              </w:rPr>
              <w:t xml:space="preserve">Group </w:t>
            </w:r>
          </w:p>
          <w:p w14:paraId="519EF462" w14:textId="51AB7871" w:rsidR="000E30E4" w:rsidRPr="00FA6338" w:rsidRDefault="000E30E4" w:rsidP="007D2490">
            <w:pPr>
              <w:spacing w:after="0"/>
              <w:jc w:val="center"/>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7</w:t>
            </w:r>
          </w:p>
          <w:p w14:paraId="5A1238AE" w14:textId="77777777" w:rsidR="000E30E4" w:rsidRPr="00FA6338" w:rsidRDefault="000E30E4" w:rsidP="007D2490">
            <w:pPr>
              <w:spacing w:after="0"/>
              <w:jc w:val="center"/>
              <w:rPr>
                <w:rFonts w:asciiTheme="minorHAnsi" w:hAnsiTheme="minorHAnsi" w:cstheme="minorHAnsi"/>
                <w:b/>
                <w:bCs/>
                <w:color w:val="000000"/>
                <w:sz w:val="20"/>
                <w:szCs w:val="20"/>
              </w:rPr>
            </w:pPr>
          </w:p>
          <w:p w14:paraId="08154654" w14:textId="6404CC3D" w:rsidR="000E30E4" w:rsidRPr="007D2490" w:rsidRDefault="000E30E4" w:rsidP="009A27DD">
            <w:pPr>
              <w:spacing w:after="0"/>
              <w:jc w:val="center"/>
              <w:rPr>
                <w:rFonts w:asciiTheme="minorHAnsi" w:hAnsiTheme="minorHAnsi" w:cstheme="minorHAnsi"/>
                <w:color w:val="000000"/>
                <w:sz w:val="20"/>
                <w:szCs w:val="20"/>
              </w:rPr>
            </w:pPr>
            <w:r w:rsidRPr="00FA6338">
              <w:rPr>
                <w:rFonts w:asciiTheme="minorHAnsi" w:hAnsiTheme="minorHAnsi" w:cstheme="minorHAnsi"/>
                <w:b/>
                <w:bCs/>
                <w:color w:val="000000"/>
                <w:sz w:val="20"/>
                <w:szCs w:val="20"/>
              </w:rPr>
              <w:t>£</w:t>
            </w:r>
            <w:r w:rsidR="0051417E" w:rsidRPr="00FA6338">
              <w:rPr>
                <w:rFonts w:asciiTheme="minorHAnsi" w:hAnsiTheme="minorHAnsi" w:cstheme="minorHAnsi"/>
                <w:b/>
                <w:bCs/>
                <w:color w:val="000000"/>
                <w:sz w:val="20"/>
                <w:szCs w:val="20"/>
              </w:rPr>
              <w:t>74,295</w:t>
            </w:r>
            <w:r w:rsidR="00FA6338" w:rsidRPr="00FA6338">
              <w:rPr>
                <w:rFonts w:asciiTheme="minorHAnsi" w:hAnsiTheme="minorHAnsi" w:cstheme="minorHAnsi"/>
                <w:b/>
                <w:bCs/>
                <w:color w:val="000000"/>
                <w:sz w:val="20"/>
                <w:szCs w:val="20"/>
              </w:rPr>
              <w:t xml:space="preserve"> </w:t>
            </w:r>
            <w:r w:rsidRPr="00FA6338">
              <w:rPr>
                <w:rFonts w:asciiTheme="minorHAnsi" w:hAnsiTheme="minorHAnsi" w:cstheme="minorHAnsi"/>
                <w:b/>
                <w:bCs/>
                <w:color w:val="000000"/>
                <w:sz w:val="20"/>
                <w:szCs w:val="20"/>
              </w:rPr>
              <w:t>- £</w:t>
            </w:r>
            <w:r w:rsidR="0051417E" w:rsidRPr="00FA6338">
              <w:rPr>
                <w:rFonts w:asciiTheme="minorHAnsi" w:hAnsiTheme="minorHAnsi" w:cstheme="minorHAnsi"/>
                <w:b/>
                <w:bCs/>
                <w:color w:val="000000"/>
                <w:sz w:val="20"/>
                <w:szCs w:val="20"/>
              </w:rPr>
              <w:t>106</w:t>
            </w:r>
            <w:r w:rsidR="00FA6338">
              <w:rPr>
                <w:rFonts w:asciiTheme="minorHAnsi" w:hAnsiTheme="minorHAnsi" w:cstheme="minorHAnsi"/>
                <w:b/>
                <w:bCs/>
                <w:color w:val="000000"/>
                <w:sz w:val="20"/>
                <w:szCs w:val="20"/>
              </w:rPr>
              <w:t>,</w:t>
            </w:r>
            <w:r w:rsidR="0051417E" w:rsidRPr="00FA6338">
              <w:rPr>
                <w:rFonts w:asciiTheme="minorHAnsi" w:hAnsiTheme="minorHAnsi" w:cstheme="minorHAnsi"/>
                <w:b/>
                <w:bCs/>
                <w:color w:val="000000"/>
                <w:sz w:val="20"/>
                <w:szCs w:val="20"/>
              </w:rPr>
              <w:t>176</w:t>
            </w:r>
          </w:p>
        </w:tc>
        <w:tc>
          <w:tcPr>
            <w:tcW w:w="1033" w:type="dxa"/>
            <w:tcBorders>
              <w:top w:val="nil"/>
              <w:bottom w:val="nil"/>
              <w:right w:val="nil"/>
            </w:tcBorders>
            <w:vAlign w:val="center"/>
          </w:tcPr>
          <w:p w14:paraId="3337B332"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11B70AB2"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A52104D"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L25</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94836A9" w14:textId="6FB5C95A" w:rsidR="000E30E4" w:rsidRPr="007D2490" w:rsidRDefault="00F95B91" w:rsidP="00080FEE">
            <w:pPr>
              <w:spacing w:after="0"/>
              <w:jc w:val="right"/>
              <w:rPr>
                <w:rFonts w:asciiTheme="minorHAnsi" w:hAnsiTheme="minorHAnsi" w:cstheme="minorHAnsi"/>
                <w:color w:val="000000"/>
                <w:sz w:val="20"/>
                <w:szCs w:val="20"/>
              </w:rPr>
            </w:pPr>
            <w:r>
              <w:rPr>
                <w:rFonts w:asciiTheme="minorHAnsi" w:hAnsiTheme="minorHAnsi" w:cstheme="minorHAnsi"/>
                <w:color w:val="000000"/>
                <w:sz w:val="20"/>
                <w:szCs w:val="20"/>
              </w:rPr>
              <w:t>£</w:t>
            </w:r>
            <w:r w:rsidR="00A61664">
              <w:rPr>
                <w:rFonts w:asciiTheme="minorHAnsi" w:hAnsiTheme="minorHAnsi" w:cstheme="minorHAnsi"/>
                <w:color w:val="000000"/>
                <w:sz w:val="20"/>
                <w:szCs w:val="20"/>
              </w:rPr>
              <w:t>76,141</w:t>
            </w:r>
          </w:p>
        </w:tc>
        <w:tc>
          <w:tcPr>
            <w:tcW w:w="270" w:type="dxa"/>
            <w:tcBorders>
              <w:top w:val="nil"/>
              <w:left w:val="single" w:sz="4" w:space="0" w:color="BFBFBF" w:themeColor="background1" w:themeShade="BF"/>
              <w:bottom w:val="nil"/>
              <w:right w:val="nil"/>
            </w:tcBorders>
          </w:tcPr>
          <w:p w14:paraId="0265BF53"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14698309"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2ED4A65F"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2EFF5A89"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15411350"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7C8E99D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05B176CD"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04273CEA"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bottom w:val="nil"/>
              <w:right w:val="nil"/>
            </w:tcBorders>
            <w:vAlign w:val="center"/>
          </w:tcPr>
          <w:p w14:paraId="70589773"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0D738E8F"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6220224"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L26</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1B8F0C0" w14:textId="3F87DDA7" w:rsidR="000E30E4" w:rsidRPr="007D2490" w:rsidRDefault="000E30E4" w:rsidP="00080FEE">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A61664">
              <w:rPr>
                <w:rFonts w:asciiTheme="minorHAnsi" w:hAnsiTheme="minorHAnsi" w:cstheme="minorHAnsi"/>
                <w:color w:val="000000"/>
                <w:sz w:val="20"/>
                <w:szCs w:val="20"/>
              </w:rPr>
              <w:t>78,02</w:t>
            </w:r>
            <w:r w:rsidR="001328A1">
              <w:rPr>
                <w:rFonts w:asciiTheme="minorHAnsi" w:hAnsiTheme="minorHAnsi" w:cstheme="minorHAnsi"/>
                <w:color w:val="000000"/>
                <w:sz w:val="20"/>
                <w:szCs w:val="20"/>
              </w:rPr>
              <w:t>5</w:t>
            </w:r>
          </w:p>
        </w:tc>
        <w:tc>
          <w:tcPr>
            <w:tcW w:w="270" w:type="dxa"/>
            <w:tcBorders>
              <w:top w:val="nil"/>
              <w:left w:val="single" w:sz="4" w:space="0" w:color="BFBFBF" w:themeColor="background1" w:themeShade="BF"/>
              <w:bottom w:val="nil"/>
              <w:right w:val="nil"/>
            </w:tcBorders>
          </w:tcPr>
          <w:p w14:paraId="3EF8CF24"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6A2F664D"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37748A17"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0CE26056"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63967DC2"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1F63765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45C07D1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048AC042"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bottom w:val="nil"/>
              <w:right w:val="nil"/>
            </w:tcBorders>
            <w:vAlign w:val="center"/>
          </w:tcPr>
          <w:p w14:paraId="59FE579A"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188AC75D" w14:textId="77777777" w:rsidTr="00B168CD">
        <w:trPr>
          <w:trHeight w:val="134"/>
        </w:trPr>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530AEBC" w14:textId="77777777" w:rsidR="000E30E4" w:rsidRPr="00FA6338" w:rsidRDefault="000E30E4" w:rsidP="007D2490">
            <w:pPr>
              <w:spacing w:after="0"/>
              <w:jc w:val="right"/>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L27*</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7AC3145" w14:textId="2ACFC833" w:rsidR="000E30E4" w:rsidRPr="00FA6338" w:rsidRDefault="00F95B91" w:rsidP="006418AB">
            <w:pPr>
              <w:spacing w:after="0"/>
              <w:jc w:val="right"/>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w:t>
            </w:r>
            <w:r w:rsidR="00A61664" w:rsidRPr="00FA6338">
              <w:rPr>
                <w:rFonts w:asciiTheme="minorHAnsi" w:hAnsiTheme="minorHAnsi" w:cstheme="minorHAnsi"/>
                <w:b/>
                <w:bCs/>
                <w:color w:val="000000"/>
                <w:sz w:val="20"/>
                <w:szCs w:val="20"/>
              </w:rPr>
              <w:t>79,167</w:t>
            </w:r>
          </w:p>
        </w:tc>
        <w:tc>
          <w:tcPr>
            <w:tcW w:w="270" w:type="dxa"/>
            <w:tcBorders>
              <w:top w:val="nil"/>
              <w:left w:val="single" w:sz="4" w:space="0" w:color="BFBFBF" w:themeColor="background1" w:themeShade="BF"/>
              <w:bottom w:val="nil"/>
              <w:right w:val="nil"/>
            </w:tcBorders>
          </w:tcPr>
          <w:p w14:paraId="03EB0F25"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6BB0A135"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722552E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1CE97FD8"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tcBorders>
              <w:bottom w:val="single" w:sz="4" w:space="0" w:color="A6A6A6" w:themeColor="background1" w:themeShade="A6"/>
            </w:tcBorders>
            <w:vAlign w:val="center"/>
          </w:tcPr>
          <w:p w14:paraId="44DA4FEB"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0638CB08"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4BD1B185"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46941D53"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bottom w:val="nil"/>
              <w:right w:val="nil"/>
            </w:tcBorders>
            <w:vAlign w:val="center"/>
          </w:tcPr>
          <w:p w14:paraId="3B35C31B"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7F8F6DC4"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F0F0B7C"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L27</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F385F94" w14:textId="097282BB" w:rsidR="000E30E4" w:rsidRPr="007D2490" w:rsidRDefault="000E30E4" w:rsidP="00080FEE">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A61664">
              <w:rPr>
                <w:rFonts w:asciiTheme="minorHAnsi" w:hAnsiTheme="minorHAnsi" w:cstheme="minorHAnsi"/>
                <w:color w:val="000000"/>
                <w:sz w:val="20"/>
                <w:szCs w:val="20"/>
              </w:rPr>
              <w:t>79,958</w:t>
            </w:r>
          </w:p>
        </w:tc>
        <w:tc>
          <w:tcPr>
            <w:tcW w:w="270" w:type="dxa"/>
            <w:tcBorders>
              <w:top w:val="nil"/>
              <w:left w:val="single" w:sz="4" w:space="0" w:color="BFBFBF" w:themeColor="background1" w:themeShade="BF"/>
              <w:bottom w:val="nil"/>
              <w:right w:val="nil"/>
            </w:tcBorders>
          </w:tcPr>
          <w:p w14:paraId="50B767D6"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271769FD"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4849E24E"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557BAA8B"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single" w:sz="4" w:space="0" w:color="A6A6A6" w:themeColor="background1" w:themeShade="A6"/>
              <w:left w:val="nil"/>
              <w:bottom w:val="nil"/>
            </w:tcBorders>
            <w:vAlign w:val="center"/>
          </w:tcPr>
          <w:p w14:paraId="044A7908"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3811D5EA"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1F4839B7"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30DAF4CD"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tcBorders>
              <w:top w:val="nil"/>
              <w:right w:val="nil"/>
            </w:tcBorders>
            <w:vAlign w:val="center"/>
          </w:tcPr>
          <w:p w14:paraId="5AEE35B6"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7B4CE5E4"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72F290"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L28</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0D0499E" w14:textId="75A4C74F" w:rsidR="000E30E4" w:rsidRPr="007D2490" w:rsidRDefault="00F95B91" w:rsidP="00697E1D">
            <w:pPr>
              <w:spacing w:after="0"/>
              <w:jc w:val="right"/>
              <w:rPr>
                <w:rFonts w:asciiTheme="minorHAnsi" w:hAnsiTheme="minorHAnsi" w:cstheme="minorHAnsi"/>
                <w:color w:val="000000"/>
                <w:sz w:val="20"/>
                <w:szCs w:val="20"/>
              </w:rPr>
            </w:pPr>
            <w:r>
              <w:rPr>
                <w:rFonts w:asciiTheme="minorHAnsi" w:hAnsiTheme="minorHAnsi" w:cstheme="minorHAnsi"/>
                <w:color w:val="000000"/>
                <w:sz w:val="20"/>
                <w:szCs w:val="20"/>
              </w:rPr>
              <w:t>£</w:t>
            </w:r>
            <w:r w:rsidR="00A61664">
              <w:rPr>
                <w:rFonts w:asciiTheme="minorHAnsi" w:hAnsiTheme="minorHAnsi" w:cstheme="minorHAnsi"/>
                <w:color w:val="000000"/>
                <w:sz w:val="20"/>
                <w:szCs w:val="20"/>
              </w:rPr>
              <w:t>81,942</w:t>
            </w:r>
          </w:p>
        </w:tc>
        <w:tc>
          <w:tcPr>
            <w:tcW w:w="270" w:type="dxa"/>
            <w:tcBorders>
              <w:top w:val="nil"/>
              <w:left w:val="single" w:sz="4" w:space="0" w:color="BFBFBF" w:themeColor="background1" w:themeShade="BF"/>
              <w:bottom w:val="nil"/>
              <w:right w:val="nil"/>
            </w:tcBorders>
          </w:tcPr>
          <w:p w14:paraId="71A4FAED"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613B4FB4"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3B6DA51A"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7863A1D2"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2143EB27"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45A1065E"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4D7E1DC3"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7A48A4F7"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vMerge w:val="restart"/>
            <w:vAlign w:val="center"/>
          </w:tcPr>
          <w:p w14:paraId="4FEDA3D9" w14:textId="77777777" w:rsidR="00080FEE" w:rsidRPr="00FA6338" w:rsidRDefault="00080FEE" w:rsidP="007D2490">
            <w:pPr>
              <w:spacing w:after="0"/>
              <w:jc w:val="center"/>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HT</w:t>
            </w:r>
          </w:p>
          <w:p w14:paraId="7F3A7FD8" w14:textId="77777777" w:rsidR="00FA6338" w:rsidRPr="00FA6338" w:rsidRDefault="000E30E4" w:rsidP="007D2490">
            <w:pPr>
              <w:spacing w:after="0"/>
              <w:jc w:val="center"/>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 xml:space="preserve">Group </w:t>
            </w:r>
          </w:p>
          <w:p w14:paraId="6AB38915" w14:textId="271C2EC2" w:rsidR="000E30E4" w:rsidRPr="00FA6338" w:rsidRDefault="000E30E4" w:rsidP="007D2490">
            <w:pPr>
              <w:spacing w:after="0"/>
              <w:jc w:val="center"/>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8</w:t>
            </w:r>
          </w:p>
          <w:p w14:paraId="049ECEE3" w14:textId="77777777" w:rsidR="000E30E4" w:rsidRDefault="000E30E4" w:rsidP="007D2490">
            <w:pPr>
              <w:spacing w:after="0"/>
              <w:jc w:val="center"/>
              <w:rPr>
                <w:rFonts w:asciiTheme="minorHAnsi" w:hAnsiTheme="minorHAnsi" w:cstheme="minorHAnsi"/>
                <w:color w:val="000000"/>
                <w:sz w:val="20"/>
                <w:szCs w:val="20"/>
              </w:rPr>
            </w:pPr>
          </w:p>
          <w:p w14:paraId="5B738F4A" w14:textId="02478A97" w:rsidR="000E30E4" w:rsidRPr="007D2490" w:rsidRDefault="00F95B91" w:rsidP="004F4659">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w:t>
            </w:r>
            <w:r w:rsidR="0051417E">
              <w:rPr>
                <w:rFonts w:asciiTheme="minorHAnsi" w:hAnsiTheme="minorHAnsi" w:cstheme="minorHAnsi"/>
                <w:color w:val="000000"/>
                <w:sz w:val="20"/>
                <w:szCs w:val="20"/>
              </w:rPr>
              <w:t>81,942</w:t>
            </w:r>
            <w:r w:rsidR="00FA6338">
              <w:rPr>
                <w:rFonts w:asciiTheme="minorHAnsi" w:hAnsiTheme="minorHAnsi" w:cstheme="minorHAnsi"/>
                <w:color w:val="000000"/>
                <w:sz w:val="20"/>
                <w:szCs w:val="20"/>
              </w:rPr>
              <w:t xml:space="preserve"> </w:t>
            </w:r>
            <w:r w:rsidR="000E30E4">
              <w:rPr>
                <w:rFonts w:asciiTheme="minorHAnsi" w:hAnsiTheme="minorHAnsi" w:cstheme="minorHAnsi"/>
                <w:color w:val="000000"/>
                <w:sz w:val="20"/>
                <w:szCs w:val="20"/>
              </w:rPr>
              <w:t>- £</w:t>
            </w:r>
            <w:r w:rsidR="0051417E">
              <w:rPr>
                <w:rFonts w:asciiTheme="minorHAnsi" w:hAnsiTheme="minorHAnsi" w:cstheme="minorHAnsi"/>
                <w:color w:val="000000"/>
                <w:sz w:val="20"/>
                <w:szCs w:val="20"/>
              </w:rPr>
              <w:t>117,197</w:t>
            </w:r>
          </w:p>
        </w:tc>
      </w:tr>
      <w:tr w:rsidR="0051417E" w:rsidRPr="007D2490" w14:paraId="5EC784E6"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01C5E21"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L29</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B53ED08" w14:textId="0B32A2C2" w:rsidR="000E30E4" w:rsidRPr="007D2490" w:rsidRDefault="000E30E4" w:rsidP="00697E1D">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A61664">
              <w:rPr>
                <w:rFonts w:asciiTheme="minorHAnsi" w:hAnsiTheme="minorHAnsi" w:cstheme="minorHAnsi"/>
                <w:color w:val="000000"/>
                <w:sz w:val="20"/>
                <w:szCs w:val="20"/>
              </w:rPr>
              <w:t>83,971</w:t>
            </w:r>
          </w:p>
        </w:tc>
        <w:tc>
          <w:tcPr>
            <w:tcW w:w="270" w:type="dxa"/>
            <w:tcBorders>
              <w:top w:val="nil"/>
              <w:left w:val="single" w:sz="4" w:space="0" w:color="BFBFBF" w:themeColor="background1" w:themeShade="BF"/>
              <w:bottom w:val="nil"/>
              <w:right w:val="nil"/>
            </w:tcBorders>
          </w:tcPr>
          <w:p w14:paraId="0DB92BF8"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13D8777A"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726C478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3F0004F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7ECA6CB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36BA6AA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289B246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62D11834"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vMerge/>
            <w:vAlign w:val="center"/>
          </w:tcPr>
          <w:p w14:paraId="0A9A5BFC"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7FB05A53"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74247CB"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L30</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4C9013A" w14:textId="3619CF46" w:rsidR="000E30E4" w:rsidRPr="007D2490" w:rsidRDefault="00F95B91" w:rsidP="00697E1D">
            <w:pPr>
              <w:spacing w:after="0"/>
              <w:jc w:val="right"/>
              <w:rPr>
                <w:rFonts w:asciiTheme="minorHAnsi" w:hAnsiTheme="minorHAnsi" w:cstheme="minorHAnsi"/>
                <w:color w:val="000000"/>
                <w:sz w:val="20"/>
                <w:szCs w:val="20"/>
              </w:rPr>
            </w:pPr>
            <w:r>
              <w:rPr>
                <w:rFonts w:asciiTheme="minorHAnsi" w:hAnsiTheme="minorHAnsi" w:cstheme="minorHAnsi"/>
                <w:color w:val="000000"/>
                <w:sz w:val="20"/>
                <w:szCs w:val="20"/>
              </w:rPr>
              <w:t>£</w:t>
            </w:r>
            <w:r w:rsidR="00A553A7">
              <w:rPr>
                <w:rFonts w:asciiTheme="minorHAnsi" w:hAnsiTheme="minorHAnsi" w:cstheme="minorHAnsi"/>
                <w:color w:val="000000"/>
                <w:sz w:val="20"/>
                <w:szCs w:val="20"/>
              </w:rPr>
              <w:t>86,061</w:t>
            </w:r>
          </w:p>
        </w:tc>
        <w:tc>
          <w:tcPr>
            <w:tcW w:w="270" w:type="dxa"/>
            <w:tcBorders>
              <w:top w:val="nil"/>
              <w:left w:val="single" w:sz="4" w:space="0" w:color="BFBFBF" w:themeColor="background1" w:themeShade="BF"/>
              <w:bottom w:val="nil"/>
              <w:right w:val="nil"/>
            </w:tcBorders>
          </w:tcPr>
          <w:p w14:paraId="1E40D6AE"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38788510"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029584F7"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3D1ABC84"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45BEE40E"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473FBE3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7371D2C5"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70AFBAA3"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vMerge/>
            <w:vAlign w:val="center"/>
          </w:tcPr>
          <w:p w14:paraId="2097EEC9"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4554F75C"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B862308" w14:textId="77777777" w:rsidR="000E30E4" w:rsidRPr="00FA6338" w:rsidRDefault="000E30E4" w:rsidP="007D2490">
            <w:pPr>
              <w:spacing w:after="0"/>
              <w:jc w:val="right"/>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L31*</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3FAAD91" w14:textId="5F0B497D" w:rsidR="000E30E4" w:rsidRPr="00FA6338" w:rsidRDefault="000E30E4" w:rsidP="00697E1D">
            <w:pPr>
              <w:spacing w:after="0"/>
              <w:jc w:val="right"/>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w:t>
            </w:r>
            <w:r w:rsidR="00A553A7" w:rsidRPr="00FA6338">
              <w:rPr>
                <w:rFonts w:asciiTheme="minorHAnsi" w:hAnsiTheme="minorHAnsi" w:cstheme="minorHAnsi"/>
                <w:b/>
                <w:bCs/>
                <w:color w:val="000000"/>
                <w:sz w:val="20"/>
                <w:szCs w:val="20"/>
              </w:rPr>
              <w:t>87,313</w:t>
            </w:r>
          </w:p>
        </w:tc>
        <w:tc>
          <w:tcPr>
            <w:tcW w:w="270" w:type="dxa"/>
            <w:tcBorders>
              <w:top w:val="nil"/>
              <w:left w:val="single" w:sz="4" w:space="0" w:color="BFBFBF" w:themeColor="background1" w:themeShade="BF"/>
              <w:bottom w:val="nil"/>
              <w:right w:val="nil"/>
            </w:tcBorders>
          </w:tcPr>
          <w:p w14:paraId="52E16E57"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2D52D134"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5D308A4F"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2A36F169"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18D81486"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tcBorders>
              <w:bottom w:val="single" w:sz="4" w:space="0" w:color="A6A6A6" w:themeColor="background1" w:themeShade="A6"/>
            </w:tcBorders>
            <w:vAlign w:val="center"/>
          </w:tcPr>
          <w:p w14:paraId="3498282E"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4C4A3BD6"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56E65363"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vMerge/>
            <w:vAlign w:val="center"/>
          </w:tcPr>
          <w:p w14:paraId="5D19E437"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027ABA38"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7A2550B"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L31</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9A571EB" w14:textId="11691B2F" w:rsidR="000E30E4" w:rsidRPr="007D2490" w:rsidRDefault="000E30E4" w:rsidP="00697E1D">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A553A7">
              <w:rPr>
                <w:rFonts w:asciiTheme="minorHAnsi" w:hAnsiTheme="minorHAnsi" w:cstheme="minorHAnsi"/>
                <w:color w:val="000000"/>
                <w:sz w:val="20"/>
                <w:szCs w:val="20"/>
              </w:rPr>
              <w:t>88,187</w:t>
            </w:r>
          </w:p>
        </w:tc>
        <w:tc>
          <w:tcPr>
            <w:tcW w:w="270" w:type="dxa"/>
            <w:tcBorders>
              <w:top w:val="nil"/>
              <w:left w:val="single" w:sz="4" w:space="0" w:color="BFBFBF" w:themeColor="background1" w:themeShade="BF"/>
              <w:bottom w:val="nil"/>
              <w:right w:val="nil"/>
            </w:tcBorders>
          </w:tcPr>
          <w:p w14:paraId="3B1025EE"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758BE1F7"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1268BE04"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574E478A"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711B59CA"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left w:val="nil"/>
              <w:bottom w:val="nil"/>
            </w:tcBorders>
            <w:vAlign w:val="center"/>
          </w:tcPr>
          <w:p w14:paraId="4150805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48592B8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1FE6C4CA"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vMerge/>
            <w:vAlign w:val="center"/>
          </w:tcPr>
          <w:p w14:paraId="73183373"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35309416"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9469823"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L32</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4474D7B" w14:textId="4A221E72" w:rsidR="000E30E4" w:rsidRPr="007D2490" w:rsidRDefault="00F95B91" w:rsidP="00697E1D">
            <w:pPr>
              <w:spacing w:after="0"/>
              <w:jc w:val="right"/>
              <w:rPr>
                <w:rFonts w:asciiTheme="minorHAnsi" w:hAnsiTheme="minorHAnsi" w:cstheme="minorHAnsi"/>
                <w:color w:val="000000"/>
                <w:sz w:val="20"/>
                <w:szCs w:val="20"/>
              </w:rPr>
            </w:pPr>
            <w:r>
              <w:rPr>
                <w:rFonts w:asciiTheme="minorHAnsi" w:hAnsiTheme="minorHAnsi" w:cstheme="minorHAnsi"/>
                <w:color w:val="000000"/>
                <w:sz w:val="20"/>
                <w:szCs w:val="20"/>
              </w:rPr>
              <w:t>£</w:t>
            </w:r>
            <w:r w:rsidR="00A553A7">
              <w:rPr>
                <w:rFonts w:asciiTheme="minorHAnsi" w:hAnsiTheme="minorHAnsi" w:cstheme="minorHAnsi"/>
                <w:color w:val="000000"/>
                <w:sz w:val="20"/>
                <w:szCs w:val="20"/>
              </w:rPr>
              <w:t>90,379</w:t>
            </w:r>
          </w:p>
        </w:tc>
        <w:tc>
          <w:tcPr>
            <w:tcW w:w="270" w:type="dxa"/>
            <w:tcBorders>
              <w:top w:val="nil"/>
              <w:left w:val="single" w:sz="4" w:space="0" w:color="BFBFBF" w:themeColor="background1" w:themeShade="BF"/>
              <w:bottom w:val="nil"/>
              <w:right w:val="nil"/>
            </w:tcBorders>
          </w:tcPr>
          <w:p w14:paraId="1E74659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72692525"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46C2E27E"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3D77E4E6"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3B951F53"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62DF8FD6"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359DF908"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08677E27"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vMerge/>
            <w:vAlign w:val="center"/>
          </w:tcPr>
          <w:p w14:paraId="055F5445"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1A04D876"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3ADF29A"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L33</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340B2EB" w14:textId="19F6CE36" w:rsidR="000E30E4" w:rsidRPr="007D2490" w:rsidRDefault="000E30E4" w:rsidP="00697E1D">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A553A7">
              <w:rPr>
                <w:rFonts w:asciiTheme="minorHAnsi" w:hAnsiTheme="minorHAnsi" w:cstheme="minorHAnsi"/>
                <w:color w:val="000000"/>
                <w:sz w:val="20"/>
                <w:szCs w:val="20"/>
              </w:rPr>
              <w:t>92,624</w:t>
            </w:r>
          </w:p>
        </w:tc>
        <w:tc>
          <w:tcPr>
            <w:tcW w:w="270" w:type="dxa"/>
            <w:tcBorders>
              <w:top w:val="nil"/>
              <w:left w:val="single" w:sz="4" w:space="0" w:color="BFBFBF" w:themeColor="background1" w:themeShade="BF"/>
              <w:bottom w:val="nil"/>
              <w:right w:val="nil"/>
            </w:tcBorders>
          </w:tcPr>
          <w:p w14:paraId="441CCB52"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1FB0DC7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5F0756C3"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37986F40"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6DF0C01E"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48071EE2"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543891CD"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193E4D2D"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vMerge/>
            <w:vAlign w:val="center"/>
          </w:tcPr>
          <w:p w14:paraId="062379D0"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0B55DDEE"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6F0EDAD"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L34</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3DAD247" w14:textId="2C51BC71" w:rsidR="000E30E4" w:rsidRPr="007D2490" w:rsidRDefault="000E30E4" w:rsidP="00697E1D">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A553A7">
              <w:rPr>
                <w:rFonts w:asciiTheme="minorHAnsi" w:hAnsiTheme="minorHAnsi" w:cstheme="minorHAnsi"/>
                <w:color w:val="000000"/>
                <w:sz w:val="20"/>
                <w:szCs w:val="20"/>
              </w:rPr>
              <w:t>94,914</w:t>
            </w:r>
          </w:p>
        </w:tc>
        <w:tc>
          <w:tcPr>
            <w:tcW w:w="270" w:type="dxa"/>
            <w:tcBorders>
              <w:top w:val="nil"/>
              <w:left w:val="single" w:sz="4" w:space="0" w:color="BFBFBF" w:themeColor="background1" w:themeShade="BF"/>
              <w:bottom w:val="nil"/>
              <w:right w:val="nil"/>
            </w:tcBorders>
          </w:tcPr>
          <w:p w14:paraId="1CC1ABC3"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4CE713A2"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57E905BE"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218E2656"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656182B0"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68DF84C8"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61F5ED9B"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32A9444D"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vMerge/>
            <w:vAlign w:val="center"/>
          </w:tcPr>
          <w:p w14:paraId="22AE1484"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29D5E3B8"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82F9BFE" w14:textId="77777777" w:rsidR="000E30E4" w:rsidRPr="00FA6338" w:rsidRDefault="000E30E4" w:rsidP="007D2490">
            <w:pPr>
              <w:spacing w:after="0"/>
              <w:jc w:val="right"/>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L35*</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58069BD" w14:textId="4927BACF" w:rsidR="000E30E4" w:rsidRPr="00FA6338" w:rsidRDefault="000E30E4" w:rsidP="00697E1D">
            <w:pPr>
              <w:spacing w:after="0"/>
              <w:jc w:val="right"/>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w:t>
            </w:r>
            <w:r w:rsidR="00A553A7" w:rsidRPr="00FA6338">
              <w:rPr>
                <w:rFonts w:asciiTheme="minorHAnsi" w:hAnsiTheme="minorHAnsi" w:cstheme="minorHAnsi"/>
                <w:b/>
                <w:bCs/>
                <w:color w:val="000000"/>
                <w:sz w:val="20"/>
                <w:szCs w:val="20"/>
              </w:rPr>
              <w:t>96,310</w:t>
            </w:r>
          </w:p>
        </w:tc>
        <w:tc>
          <w:tcPr>
            <w:tcW w:w="270" w:type="dxa"/>
            <w:tcBorders>
              <w:top w:val="nil"/>
              <w:left w:val="single" w:sz="4" w:space="0" w:color="BFBFBF" w:themeColor="background1" w:themeShade="BF"/>
              <w:bottom w:val="nil"/>
              <w:right w:val="nil"/>
            </w:tcBorders>
          </w:tcPr>
          <w:p w14:paraId="3A656B46"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5FD140AF"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79AB54C2"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3CDF98DA"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68F7BF2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036C5053"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tcBorders>
              <w:bottom w:val="single" w:sz="4" w:space="0" w:color="A6A6A6" w:themeColor="background1" w:themeShade="A6"/>
            </w:tcBorders>
            <w:vAlign w:val="center"/>
          </w:tcPr>
          <w:p w14:paraId="6D5232E0"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0576BA75"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vMerge/>
            <w:vAlign w:val="center"/>
          </w:tcPr>
          <w:p w14:paraId="36DBD061"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4F649384"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D8DD274"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L35</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4CF5FFE" w14:textId="091C8CFB" w:rsidR="000E30E4" w:rsidRPr="007D2490" w:rsidRDefault="000E30E4" w:rsidP="00697E1D">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AD59B9">
              <w:rPr>
                <w:rFonts w:asciiTheme="minorHAnsi" w:hAnsiTheme="minorHAnsi" w:cstheme="minorHAnsi"/>
                <w:color w:val="000000"/>
                <w:sz w:val="20"/>
                <w:szCs w:val="20"/>
              </w:rPr>
              <w:t>97,273</w:t>
            </w:r>
          </w:p>
        </w:tc>
        <w:tc>
          <w:tcPr>
            <w:tcW w:w="270" w:type="dxa"/>
            <w:tcBorders>
              <w:top w:val="nil"/>
              <w:left w:val="single" w:sz="4" w:space="0" w:color="BFBFBF" w:themeColor="background1" w:themeShade="BF"/>
              <w:bottom w:val="nil"/>
              <w:right w:val="nil"/>
            </w:tcBorders>
          </w:tcPr>
          <w:p w14:paraId="72A2616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5A80576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08A51ADA"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4103E547"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4D7FA497"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34DA1FDB"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left w:val="nil"/>
              <w:bottom w:val="nil"/>
            </w:tcBorders>
            <w:vAlign w:val="center"/>
          </w:tcPr>
          <w:p w14:paraId="2F04D6B9"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67AE3997"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vMerge/>
            <w:vAlign w:val="center"/>
          </w:tcPr>
          <w:p w14:paraId="21E45383"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608AA9C1"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07C215E"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L36</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518FB01" w14:textId="20BD3BF8" w:rsidR="000E30E4" w:rsidRPr="007D2490" w:rsidRDefault="000E30E4" w:rsidP="0077586B">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AD59B9">
              <w:rPr>
                <w:rFonts w:asciiTheme="minorHAnsi" w:hAnsiTheme="minorHAnsi" w:cstheme="minorHAnsi"/>
                <w:color w:val="000000"/>
                <w:sz w:val="20"/>
                <w:szCs w:val="20"/>
              </w:rPr>
              <w:t>99,681</w:t>
            </w:r>
          </w:p>
        </w:tc>
        <w:tc>
          <w:tcPr>
            <w:tcW w:w="270" w:type="dxa"/>
            <w:tcBorders>
              <w:top w:val="nil"/>
              <w:left w:val="single" w:sz="4" w:space="0" w:color="BFBFBF" w:themeColor="background1" w:themeShade="BF"/>
              <w:bottom w:val="nil"/>
              <w:right w:val="nil"/>
            </w:tcBorders>
          </w:tcPr>
          <w:p w14:paraId="7A61FF65"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1C8FC213"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52151A75"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0EA4E64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672206BB"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1F6919D7"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1E1101C8"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0D7E23BC"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vMerge/>
            <w:vAlign w:val="center"/>
          </w:tcPr>
          <w:p w14:paraId="3B2DA11D"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6D1BBBF8"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29F313F"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L37</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0311972" w14:textId="5318F8BA" w:rsidR="000E30E4" w:rsidRPr="007D2490" w:rsidRDefault="000E30E4" w:rsidP="00697E1D">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AD59B9">
              <w:rPr>
                <w:rFonts w:asciiTheme="minorHAnsi" w:hAnsiTheme="minorHAnsi" w:cstheme="minorHAnsi"/>
                <w:color w:val="000000"/>
                <w:sz w:val="20"/>
                <w:szCs w:val="20"/>
              </w:rPr>
              <w:t>102,159</w:t>
            </w:r>
          </w:p>
        </w:tc>
        <w:tc>
          <w:tcPr>
            <w:tcW w:w="270" w:type="dxa"/>
            <w:tcBorders>
              <w:top w:val="nil"/>
              <w:left w:val="single" w:sz="4" w:space="0" w:color="BFBFBF" w:themeColor="background1" w:themeShade="BF"/>
              <w:bottom w:val="nil"/>
              <w:right w:val="nil"/>
            </w:tcBorders>
          </w:tcPr>
          <w:p w14:paraId="26AA2945"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68FE0379"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73D816C4"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43EE46ED"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2723D754"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25087434"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505EBBB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5D53561B"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vMerge/>
            <w:vAlign w:val="center"/>
          </w:tcPr>
          <w:p w14:paraId="611B3DB9"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172D8E91"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070A29"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L38</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51DA47C" w14:textId="000AC6EC" w:rsidR="000E30E4" w:rsidRPr="007D2490" w:rsidRDefault="00F95B91" w:rsidP="00697E1D">
            <w:pPr>
              <w:spacing w:after="0"/>
              <w:jc w:val="right"/>
              <w:rPr>
                <w:rFonts w:asciiTheme="minorHAnsi" w:hAnsiTheme="minorHAnsi" w:cstheme="minorHAnsi"/>
                <w:color w:val="000000"/>
                <w:sz w:val="20"/>
                <w:szCs w:val="20"/>
              </w:rPr>
            </w:pPr>
            <w:r>
              <w:rPr>
                <w:rFonts w:asciiTheme="minorHAnsi" w:hAnsiTheme="minorHAnsi" w:cstheme="minorHAnsi"/>
                <w:color w:val="000000"/>
                <w:sz w:val="20"/>
                <w:szCs w:val="20"/>
              </w:rPr>
              <w:t>£</w:t>
            </w:r>
            <w:r w:rsidR="00AD59B9">
              <w:rPr>
                <w:rFonts w:asciiTheme="minorHAnsi" w:hAnsiTheme="minorHAnsi" w:cstheme="minorHAnsi"/>
                <w:color w:val="000000"/>
                <w:sz w:val="20"/>
                <w:szCs w:val="20"/>
              </w:rPr>
              <w:t>104,687</w:t>
            </w:r>
          </w:p>
        </w:tc>
        <w:tc>
          <w:tcPr>
            <w:tcW w:w="270" w:type="dxa"/>
            <w:tcBorders>
              <w:top w:val="nil"/>
              <w:left w:val="single" w:sz="4" w:space="0" w:color="BFBFBF" w:themeColor="background1" w:themeShade="BF"/>
              <w:bottom w:val="nil"/>
              <w:right w:val="nil"/>
            </w:tcBorders>
          </w:tcPr>
          <w:p w14:paraId="2D3BD78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6BC73B04"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552FE969"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2A1A3CC9"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4B9AA41D"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0696D61D"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63A0C763"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vAlign w:val="center"/>
          </w:tcPr>
          <w:p w14:paraId="2A0E0B4A"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vMerge/>
            <w:vAlign w:val="center"/>
          </w:tcPr>
          <w:p w14:paraId="77D3E60E"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2971F517"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9C2FE4F" w14:textId="77777777" w:rsidR="000E30E4" w:rsidRPr="00FA6338" w:rsidRDefault="000E30E4" w:rsidP="007D2490">
            <w:pPr>
              <w:spacing w:after="0"/>
              <w:jc w:val="right"/>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L39*</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8A2E7ED" w14:textId="56C2949F" w:rsidR="000E30E4" w:rsidRPr="00FA6338" w:rsidRDefault="000E30E4" w:rsidP="00722BA6">
            <w:pPr>
              <w:spacing w:after="0"/>
              <w:jc w:val="right"/>
              <w:rPr>
                <w:rFonts w:asciiTheme="minorHAnsi" w:hAnsiTheme="minorHAnsi" w:cstheme="minorHAnsi"/>
                <w:b/>
                <w:bCs/>
                <w:color w:val="000000"/>
                <w:sz w:val="20"/>
                <w:szCs w:val="20"/>
              </w:rPr>
            </w:pPr>
            <w:r w:rsidRPr="00FA6338">
              <w:rPr>
                <w:rFonts w:asciiTheme="minorHAnsi" w:hAnsiTheme="minorHAnsi" w:cstheme="minorHAnsi"/>
                <w:b/>
                <w:bCs/>
                <w:color w:val="000000"/>
                <w:sz w:val="20"/>
                <w:szCs w:val="20"/>
              </w:rPr>
              <w:t>£</w:t>
            </w:r>
            <w:r w:rsidR="00AD59B9" w:rsidRPr="00FA6338">
              <w:rPr>
                <w:rFonts w:asciiTheme="minorHAnsi" w:hAnsiTheme="minorHAnsi" w:cstheme="minorHAnsi"/>
                <w:b/>
                <w:bCs/>
                <w:color w:val="000000"/>
                <w:sz w:val="20"/>
                <w:szCs w:val="20"/>
              </w:rPr>
              <w:t>106,176</w:t>
            </w:r>
          </w:p>
        </w:tc>
        <w:tc>
          <w:tcPr>
            <w:tcW w:w="270" w:type="dxa"/>
            <w:tcBorders>
              <w:top w:val="nil"/>
              <w:left w:val="single" w:sz="4" w:space="0" w:color="BFBFBF" w:themeColor="background1" w:themeShade="BF"/>
              <w:bottom w:val="nil"/>
              <w:right w:val="nil"/>
            </w:tcBorders>
          </w:tcPr>
          <w:p w14:paraId="7CA85705"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611F588B"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0A94C4E9"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0852CE27"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6BBB67C9"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0F897E03"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28B3F376"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vMerge/>
            <w:tcBorders>
              <w:bottom w:val="single" w:sz="4" w:space="0" w:color="A6A6A6" w:themeColor="background1" w:themeShade="A6"/>
            </w:tcBorders>
            <w:vAlign w:val="center"/>
          </w:tcPr>
          <w:p w14:paraId="1A8FBC74"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vMerge/>
            <w:vAlign w:val="center"/>
          </w:tcPr>
          <w:p w14:paraId="173D65AA"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0AC96DAC"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3D42E07"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L39</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DF67EA3" w14:textId="1F1FE53A" w:rsidR="000E30E4" w:rsidRPr="007D2490" w:rsidRDefault="000E30E4" w:rsidP="00697E1D">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AD59B9">
              <w:rPr>
                <w:rFonts w:asciiTheme="minorHAnsi" w:hAnsiTheme="minorHAnsi" w:cstheme="minorHAnsi"/>
                <w:color w:val="000000"/>
                <w:sz w:val="20"/>
                <w:szCs w:val="20"/>
              </w:rPr>
              <w:t>107,239</w:t>
            </w:r>
          </w:p>
        </w:tc>
        <w:tc>
          <w:tcPr>
            <w:tcW w:w="270" w:type="dxa"/>
            <w:tcBorders>
              <w:top w:val="nil"/>
              <w:left w:val="single" w:sz="4" w:space="0" w:color="BFBFBF" w:themeColor="background1" w:themeShade="BF"/>
              <w:bottom w:val="nil"/>
              <w:right w:val="nil"/>
            </w:tcBorders>
          </w:tcPr>
          <w:p w14:paraId="0465009F"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31D5793A"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65987904"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25676B37"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0B88F1E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1FB3F080"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551E14F9"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left w:val="nil"/>
              <w:bottom w:val="nil"/>
            </w:tcBorders>
            <w:vAlign w:val="center"/>
          </w:tcPr>
          <w:p w14:paraId="7E177051"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vMerge/>
            <w:vAlign w:val="center"/>
          </w:tcPr>
          <w:p w14:paraId="643CC7CA"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0371AF8C"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C81186D"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L40</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F930F99" w14:textId="777BD1C7" w:rsidR="000E30E4" w:rsidRPr="007D2490" w:rsidRDefault="000E30E4" w:rsidP="00697E1D">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AD59B9">
              <w:rPr>
                <w:rFonts w:asciiTheme="minorHAnsi" w:hAnsiTheme="minorHAnsi" w:cstheme="minorHAnsi"/>
                <w:color w:val="000000"/>
                <w:sz w:val="20"/>
                <w:szCs w:val="20"/>
              </w:rPr>
              <w:t>109,914</w:t>
            </w:r>
          </w:p>
        </w:tc>
        <w:tc>
          <w:tcPr>
            <w:tcW w:w="270" w:type="dxa"/>
            <w:tcBorders>
              <w:top w:val="nil"/>
              <w:left w:val="single" w:sz="4" w:space="0" w:color="BFBFBF" w:themeColor="background1" w:themeShade="BF"/>
              <w:bottom w:val="nil"/>
              <w:right w:val="nil"/>
            </w:tcBorders>
          </w:tcPr>
          <w:p w14:paraId="37CA401E"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650A8913"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6039975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1C708F1F"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252F64EA"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263F37E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624F8888"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2035A26C"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vMerge/>
            <w:vAlign w:val="center"/>
          </w:tcPr>
          <w:p w14:paraId="44A4DAFB"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525B1227"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B68319A"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L41</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743AD13" w14:textId="7E60F13E" w:rsidR="000E30E4" w:rsidRPr="007D2490" w:rsidRDefault="000E30E4" w:rsidP="00697E1D">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AD59B9">
              <w:rPr>
                <w:rFonts w:asciiTheme="minorHAnsi" w:hAnsiTheme="minorHAnsi" w:cstheme="minorHAnsi"/>
                <w:color w:val="000000"/>
                <w:sz w:val="20"/>
                <w:szCs w:val="20"/>
              </w:rPr>
              <w:t>112,660</w:t>
            </w:r>
          </w:p>
        </w:tc>
        <w:tc>
          <w:tcPr>
            <w:tcW w:w="270" w:type="dxa"/>
            <w:tcBorders>
              <w:top w:val="nil"/>
              <w:left w:val="single" w:sz="4" w:space="0" w:color="BFBFBF" w:themeColor="background1" w:themeShade="BF"/>
              <w:bottom w:val="nil"/>
              <w:right w:val="nil"/>
            </w:tcBorders>
          </w:tcPr>
          <w:p w14:paraId="6A537A5B"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1F89E7B4"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088A946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476CB745"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30BFA936"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43CB399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666DE9F7"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21B58FD5"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vMerge/>
            <w:vAlign w:val="center"/>
          </w:tcPr>
          <w:p w14:paraId="4D5BB5D2"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1533AEB3"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AD44C58"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L42</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D818E35" w14:textId="596ACD38" w:rsidR="000E30E4" w:rsidRPr="007D2490" w:rsidRDefault="000E30E4" w:rsidP="00697E1D">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AD59B9">
              <w:rPr>
                <w:rFonts w:asciiTheme="minorHAnsi" w:hAnsiTheme="minorHAnsi" w:cstheme="minorHAnsi"/>
                <w:color w:val="000000"/>
                <w:sz w:val="20"/>
                <w:szCs w:val="20"/>
              </w:rPr>
              <w:t>115,483</w:t>
            </w:r>
          </w:p>
        </w:tc>
        <w:tc>
          <w:tcPr>
            <w:tcW w:w="270" w:type="dxa"/>
            <w:tcBorders>
              <w:top w:val="nil"/>
              <w:left w:val="single" w:sz="4" w:space="0" w:color="BFBFBF" w:themeColor="background1" w:themeShade="BF"/>
              <w:bottom w:val="nil"/>
              <w:right w:val="nil"/>
            </w:tcBorders>
          </w:tcPr>
          <w:p w14:paraId="3E39509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37D643D8"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31F580C6"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3259F476"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4004261D"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7A36F8CE"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29F3E19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0C22F15F"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vMerge/>
            <w:vAlign w:val="center"/>
          </w:tcPr>
          <w:p w14:paraId="339278DE" w14:textId="77777777" w:rsidR="000E30E4" w:rsidRPr="007D2490" w:rsidRDefault="000E30E4" w:rsidP="007D2490">
            <w:pPr>
              <w:spacing w:after="0"/>
              <w:jc w:val="center"/>
              <w:rPr>
                <w:rFonts w:asciiTheme="minorHAnsi" w:hAnsiTheme="minorHAnsi" w:cstheme="minorHAnsi"/>
                <w:color w:val="000000"/>
                <w:sz w:val="20"/>
                <w:szCs w:val="20"/>
              </w:rPr>
            </w:pPr>
          </w:p>
        </w:tc>
      </w:tr>
      <w:tr w:rsidR="0051417E" w:rsidRPr="007D2490" w14:paraId="7CBF1152" w14:textId="77777777" w:rsidTr="00B168CD">
        <w:tc>
          <w:tcPr>
            <w:tcW w:w="8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AC1B887" w14:textId="77777777" w:rsidR="000E30E4" w:rsidRPr="007D2490" w:rsidRDefault="000E30E4" w:rsidP="007D2490">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L43</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4D11963" w14:textId="1C63DE88" w:rsidR="000E30E4" w:rsidRPr="007D2490" w:rsidRDefault="000E30E4" w:rsidP="00697E1D">
            <w:pPr>
              <w:spacing w:after="0"/>
              <w:jc w:val="right"/>
              <w:rPr>
                <w:rFonts w:asciiTheme="minorHAnsi" w:hAnsiTheme="minorHAnsi" w:cstheme="minorHAnsi"/>
                <w:color w:val="000000"/>
                <w:sz w:val="20"/>
                <w:szCs w:val="20"/>
              </w:rPr>
            </w:pPr>
            <w:r w:rsidRPr="007D2490">
              <w:rPr>
                <w:rFonts w:asciiTheme="minorHAnsi" w:hAnsiTheme="minorHAnsi" w:cstheme="minorHAnsi"/>
                <w:color w:val="000000"/>
                <w:sz w:val="20"/>
                <w:szCs w:val="20"/>
              </w:rPr>
              <w:t>£</w:t>
            </w:r>
            <w:r w:rsidR="00AD59B9">
              <w:rPr>
                <w:rFonts w:asciiTheme="minorHAnsi" w:hAnsiTheme="minorHAnsi" w:cstheme="minorHAnsi"/>
                <w:color w:val="000000"/>
                <w:sz w:val="20"/>
                <w:szCs w:val="20"/>
              </w:rPr>
              <w:t>117,197</w:t>
            </w:r>
          </w:p>
        </w:tc>
        <w:tc>
          <w:tcPr>
            <w:tcW w:w="270" w:type="dxa"/>
            <w:tcBorders>
              <w:top w:val="nil"/>
              <w:left w:val="single" w:sz="4" w:space="0" w:color="BFBFBF" w:themeColor="background1" w:themeShade="BF"/>
              <w:bottom w:val="nil"/>
              <w:right w:val="nil"/>
            </w:tcBorders>
          </w:tcPr>
          <w:p w14:paraId="14C7DF08"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52C3F751"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42F3CE38"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1E3B147C"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5B8DA03A"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6348C056"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right w:val="nil"/>
            </w:tcBorders>
            <w:vAlign w:val="center"/>
          </w:tcPr>
          <w:p w14:paraId="79079953" w14:textId="77777777" w:rsidR="000E30E4" w:rsidRPr="007D2490" w:rsidRDefault="000E30E4" w:rsidP="007D2490">
            <w:pPr>
              <w:spacing w:after="0"/>
              <w:jc w:val="center"/>
              <w:rPr>
                <w:rFonts w:asciiTheme="minorHAnsi" w:hAnsiTheme="minorHAnsi" w:cstheme="minorHAnsi"/>
                <w:color w:val="000000"/>
                <w:sz w:val="20"/>
                <w:szCs w:val="20"/>
              </w:rPr>
            </w:pPr>
          </w:p>
        </w:tc>
        <w:tc>
          <w:tcPr>
            <w:tcW w:w="881" w:type="dxa"/>
            <w:tcBorders>
              <w:top w:val="nil"/>
              <w:left w:val="nil"/>
              <w:bottom w:val="nil"/>
            </w:tcBorders>
            <w:vAlign w:val="center"/>
          </w:tcPr>
          <w:p w14:paraId="33920F8C" w14:textId="77777777" w:rsidR="000E30E4" w:rsidRPr="007D2490" w:rsidRDefault="000E30E4" w:rsidP="007D2490">
            <w:pPr>
              <w:spacing w:after="0"/>
              <w:jc w:val="center"/>
              <w:rPr>
                <w:rFonts w:asciiTheme="minorHAnsi" w:hAnsiTheme="minorHAnsi" w:cstheme="minorHAnsi"/>
                <w:color w:val="000000"/>
                <w:sz w:val="20"/>
                <w:szCs w:val="20"/>
              </w:rPr>
            </w:pPr>
          </w:p>
        </w:tc>
        <w:tc>
          <w:tcPr>
            <w:tcW w:w="1033" w:type="dxa"/>
            <w:vMerge/>
            <w:vAlign w:val="center"/>
          </w:tcPr>
          <w:p w14:paraId="056B3439" w14:textId="77777777" w:rsidR="000E30E4" w:rsidRPr="007D2490" w:rsidRDefault="000E30E4" w:rsidP="007D2490">
            <w:pPr>
              <w:spacing w:after="0"/>
              <w:jc w:val="center"/>
              <w:rPr>
                <w:rFonts w:asciiTheme="minorHAnsi" w:hAnsiTheme="minorHAnsi" w:cstheme="minorHAnsi"/>
                <w:color w:val="000000"/>
                <w:sz w:val="20"/>
                <w:szCs w:val="20"/>
              </w:rPr>
            </w:pPr>
          </w:p>
        </w:tc>
      </w:tr>
    </w:tbl>
    <w:p w14:paraId="01B5A698" w14:textId="77777777" w:rsidR="001D6A6B" w:rsidRDefault="001D6A6B" w:rsidP="00F95B91">
      <w:pPr>
        <w:spacing w:before="120" w:after="0"/>
        <w:rPr>
          <w:rFonts w:cs="Arial"/>
          <w:color w:val="000000"/>
          <w:sz w:val="22"/>
          <w:szCs w:val="22"/>
        </w:rPr>
      </w:pPr>
    </w:p>
    <w:p w14:paraId="5FDDFA5E" w14:textId="02250327" w:rsidR="001D6A6B" w:rsidRPr="008376F7" w:rsidRDefault="001D6A6B" w:rsidP="001D6A6B">
      <w:pPr>
        <w:rPr>
          <w:rFonts w:cs="Arial"/>
        </w:rPr>
      </w:pPr>
      <w:r w:rsidRPr="008376F7">
        <w:rPr>
          <w:rFonts w:cs="Arial"/>
        </w:rPr>
        <w:t>Headteacher Group 1 is from Leadership point 6 (£47,735) to Leadership point 18 (£63,508)</w:t>
      </w:r>
    </w:p>
    <w:p w14:paraId="20B5740F" w14:textId="77777777" w:rsidR="001D6A6B" w:rsidRPr="008376F7" w:rsidRDefault="001D6A6B" w:rsidP="001D6A6B">
      <w:pPr>
        <w:rPr>
          <w:rFonts w:cs="Arial"/>
        </w:rPr>
      </w:pPr>
      <w:r w:rsidRPr="008376F7">
        <w:rPr>
          <w:rFonts w:cs="Arial"/>
        </w:rPr>
        <w:t>Headteacher Group 2 is from Leadership point L8 (£50,151) to Leadership point 21 (£68,347)</w:t>
      </w:r>
    </w:p>
    <w:p w14:paraId="59F6A4A3" w14:textId="77777777" w:rsidR="001D6A6B" w:rsidRPr="008376F7" w:rsidRDefault="001D6A6B" w:rsidP="001D6A6B">
      <w:pPr>
        <w:rPr>
          <w:rFonts w:cs="Arial"/>
        </w:rPr>
      </w:pPr>
      <w:r w:rsidRPr="008376F7">
        <w:rPr>
          <w:rFonts w:cs="Arial"/>
        </w:rPr>
        <w:t>Headteacher group 3 is from Leadership point 11 (£54,091) to Leadership point 24 (£73,559)</w:t>
      </w:r>
    </w:p>
    <w:p w14:paraId="184B5DD3" w14:textId="77777777" w:rsidR="001D6A6B" w:rsidRPr="008376F7" w:rsidRDefault="001D6A6B" w:rsidP="001D6A6B">
      <w:pPr>
        <w:rPr>
          <w:rFonts w:cs="Arial"/>
        </w:rPr>
      </w:pPr>
      <w:r w:rsidRPr="008376F7">
        <w:rPr>
          <w:rFonts w:cs="Arial"/>
        </w:rPr>
        <w:t>Headteacher group 4 is from Leadership point 14 (£58,135) to Leadership point 27 (£79,167)</w:t>
      </w:r>
    </w:p>
    <w:p w14:paraId="2CB01EAC" w14:textId="77777777" w:rsidR="001D6A6B" w:rsidRPr="008376F7" w:rsidRDefault="001D6A6B" w:rsidP="001D6A6B">
      <w:pPr>
        <w:rPr>
          <w:rFonts w:cs="Arial"/>
        </w:rPr>
      </w:pPr>
      <w:r w:rsidRPr="008376F7">
        <w:rPr>
          <w:rFonts w:cs="Arial"/>
        </w:rPr>
        <w:t>Headteacher group 5 is from Leadership point 18 (£64,143) to Leadership point 31 (£87,313)</w:t>
      </w:r>
    </w:p>
    <w:p w14:paraId="312F7CC2" w14:textId="77777777" w:rsidR="001D6A6B" w:rsidRPr="008376F7" w:rsidRDefault="001D6A6B" w:rsidP="001D6A6B">
      <w:pPr>
        <w:rPr>
          <w:rFonts w:cs="Arial"/>
        </w:rPr>
      </w:pPr>
      <w:r w:rsidRPr="008376F7">
        <w:rPr>
          <w:rFonts w:cs="Arial"/>
        </w:rPr>
        <w:t>Headteacher group 6 is from Leadership point 21 (£69,031) to Leadership point 35 (£96,310)</w:t>
      </w:r>
    </w:p>
    <w:p w14:paraId="61A91EAF" w14:textId="77777777" w:rsidR="001D6A6B" w:rsidRPr="008376F7" w:rsidRDefault="001D6A6B" w:rsidP="001D6A6B">
      <w:pPr>
        <w:rPr>
          <w:rFonts w:cs="Arial"/>
          <w:color w:val="000000"/>
        </w:rPr>
      </w:pPr>
      <w:r w:rsidRPr="008376F7">
        <w:rPr>
          <w:rFonts w:cs="Arial"/>
        </w:rPr>
        <w:t xml:space="preserve">Headteacher group 7 is from Leadership point </w:t>
      </w:r>
      <w:r w:rsidRPr="008376F7">
        <w:rPr>
          <w:rFonts w:cs="Arial"/>
          <w:color w:val="000000"/>
        </w:rPr>
        <w:t>24 (£74,295) to Leadership point 39 (£106,176)</w:t>
      </w:r>
    </w:p>
    <w:p w14:paraId="337EC19B" w14:textId="77777777" w:rsidR="001D6A6B" w:rsidRDefault="001D6A6B" w:rsidP="001D6A6B">
      <w:pPr>
        <w:rPr>
          <w:rFonts w:cs="Arial"/>
          <w:b/>
          <w:bCs/>
          <w:color w:val="000000"/>
        </w:rPr>
      </w:pPr>
      <w:r w:rsidRPr="008376F7">
        <w:rPr>
          <w:rFonts w:cs="Arial"/>
          <w:color w:val="000000"/>
        </w:rPr>
        <w:t>Headteacher group 8 is from Leadership point 28 (£81,942) to Leadership point 43 (£117,197)</w:t>
      </w:r>
    </w:p>
    <w:p w14:paraId="726B32DC" w14:textId="77777777" w:rsidR="001D6A6B" w:rsidRDefault="001D6A6B" w:rsidP="00F95B91">
      <w:pPr>
        <w:spacing w:before="120" w:after="0"/>
        <w:rPr>
          <w:rFonts w:cs="Arial"/>
          <w:color w:val="000000"/>
          <w:sz w:val="22"/>
          <w:szCs w:val="22"/>
        </w:rPr>
      </w:pPr>
    </w:p>
    <w:p w14:paraId="490873D8" w14:textId="60F6AD82" w:rsidR="00C62B76" w:rsidRPr="008376F7" w:rsidRDefault="00FA6338" w:rsidP="00F95B91">
      <w:pPr>
        <w:spacing w:before="120" w:after="0"/>
        <w:rPr>
          <w:rFonts w:cs="Arial"/>
          <w:color w:val="000000"/>
        </w:rPr>
      </w:pPr>
      <w:r w:rsidRPr="008376F7">
        <w:rPr>
          <w:rFonts w:cs="Arial"/>
          <w:color w:val="000000"/>
        </w:rPr>
        <w:t xml:space="preserve">NB: </w:t>
      </w:r>
      <w:r w:rsidR="00080FEE" w:rsidRPr="008376F7">
        <w:rPr>
          <w:rFonts w:cs="Arial"/>
          <w:color w:val="000000"/>
        </w:rPr>
        <w:t xml:space="preserve">The </w:t>
      </w:r>
      <w:r w:rsidR="00CB657E" w:rsidRPr="008376F7">
        <w:rPr>
          <w:rFonts w:cs="Arial"/>
          <w:color w:val="000000"/>
        </w:rPr>
        <w:t xml:space="preserve">* </w:t>
      </w:r>
      <w:r w:rsidR="00080FEE" w:rsidRPr="008376F7">
        <w:rPr>
          <w:rFonts w:cs="Arial"/>
          <w:color w:val="000000"/>
        </w:rPr>
        <w:t xml:space="preserve">points and point 43 are the maximum salaries </w:t>
      </w:r>
      <w:r w:rsidR="00CB657E" w:rsidRPr="008376F7">
        <w:rPr>
          <w:rFonts w:cs="Arial"/>
          <w:color w:val="000000"/>
        </w:rPr>
        <w:t xml:space="preserve">(maxima) </w:t>
      </w:r>
      <w:r w:rsidR="00080FEE" w:rsidRPr="008376F7">
        <w:rPr>
          <w:rFonts w:cs="Arial"/>
          <w:color w:val="000000"/>
        </w:rPr>
        <w:t>for the 8 Headteacher group ranges.</w:t>
      </w:r>
      <w:bookmarkStart w:id="132" w:name="_Appendix_G_–_1"/>
      <w:bookmarkEnd w:id="132"/>
    </w:p>
    <w:p w14:paraId="64510573" w14:textId="77777777" w:rsidR="00C62B76" w:rsidRPr="008376F7" w:rsidRDefault="00C62B76" w:rsidP="00F95B91">
      <w:pPr>
        <w:spacing w:before="120" w:after="0"/>
        <w:rPr>
          <w:rFonts w:cs="Arial"/>
          <w:color w:val="000000"/>
        </w:rPr>
      </w:pPr>
      <w:r w:rsidRPr="008376F7">
        <w:rPr>
          <w:rFonts w:cs="Arial"/>
          <w:color w:val="000000"/>
        </w:rPr>
        <w:t>Points 18*, 21*, 24*, 27*, 31*, 35*, 39* and 43 on the Leadership Pay Range are the salary figures for head teachers at, or moving to, the top of the school group ranges only. These different figures are a legacy of the 2015 STPCD which provided for no uplift to the maxima of the eight head teacher group ranges.</w:t>
      </w:r>
    </w:p>
    <w:sectPr w:rsidR="00C62B76" w:rsidRPr="008376F7" w:rsidSect="006A3111">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55EBA" w14:textId="77777777" w:rsidR="00823037" w:rsidRDefault="00823037">
      <w:r>
        <w:separator/>
      </w:r>
    </w:p>
  </w:endnote>
  <w:endnote w:type="continuationSeparator" w:id="0">
    <w:p w14:paraId="0F395DE6" w14:textId="77777777" w:rsidR="00823037" w:rsidRDefault="0082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8D5B" w14:textId="77777777" w:rsidR="00CA1442" w:rsidRDefault="00CA1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A86F" w14:textId="77777777" w:rsidR="00CA1442" w:rsidRDefault="00CA1442" w:rsidP="00E940CC">
    <w:pPr>
      <w:pStyle w:val="Footer"/>
      <w:pBdr>
        <w:bottom w:val="single" w:sz="6" w:space="1" w:color="auto"/>
      </w:pBdr>
      <w:tabs>
        <w:tab w:val="clear" w:pos="4153"/>
        <w:tab w:val="clear" w:pos="8306"/>
        <w:tab w:val="center" w:pos="4820"/>
        <w:tab w:val="right" w:pos="9631"/>
      </w:tabs>
    </w:pPr>
  </w:p>
  <w:p w14:paraId="21A65C74" w14:textId="3D02D42C" w:rsidR="00CA1442" w:rsidRDefault="00CA1442" w:rsidP="00B114EE">
    <w:pPr>
      <w:pStyle w:val="Footer"/>
      <w:tabs>
        <w:tab w:val="clear" w:pos="4153"/>
        <w:tab w:val="clear" w:pos="8306"/>
        <w:tab w:val="left" w:pos="1071"/>
        <w:tab w:val="right" w:pos="9631"/>
      </w:tabs>
    </w:pPr>
    <w:r>
      <w:tab/>
    </w:r>
    <w:r>
      <w:tab/>
      <w:t xml:space="preserve">Page </w:t>
    </w:r>
    <w:r>
      <w:fldChar w:fldCharType="begin"/>
    </w:r>
    <w:r>
      <w:instrText xml:space="preserve"> PAGE </w:instrText>
    </w:r>
    <w:r>
      <w:fldChar w:fldCharType="separate"/>
    </w:r>
    <w:r w:rsidR="00514DE1">
      <w:rPr>
        <w:noProof/>
      </w:rPr>
      <w:t>1</w:t>
    </w:r>
    <w:r>
      <w:fldChar w:fldCharType="end"/>
    </w:r>
    <w:r>
      <w:t xml:space="preserve"> of </w:t>
    </w:r>
    <w:fldSimple w:instr=" NUMPAGES ">
      <w:r w:rsidR="00514DE1">
        <w:rPr>
          <w:noProof/>
        </w:rPr>
        <w:t>31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CD1E7" w14:textId="77777777" w:rsidR="00CA1442" w:rsidRDefault="00CA1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A9D01" w14:textId="77777777" w:rsidR="00823037" w:rsidRDefault="00823037">
      <w:r>
        <w:separator/>
      </w:r>
    </w:p>
  </w:footnote>
  <w:footnote w:type="continuationSeparator" w:id="0">
    <w:p w14:paraId="6EB9E9E5" w14:textId="77777777" w:rsidR="00823037" w:rsidRDefault="00823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B5BF4" w14:textId="6C2F9E61" w:rsidR="00CA1442" w:rsidRDefault="00CA1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14EE" w14:textId="53058356" w:rsidR="00CA1442" w:rsidRDefault="00CA1442" w:rsidP="00E940CC">
    <w:pPr>
      <w:pStyle w:val="Header"/>
      <w:tabs>
        <w:tab w:val="clear" w:pos="4153"/>
        <w:tab w:val="clear" w:pos="8306"/>
        <w:tab w:val="center" w:pos="4820"/>
        <w:tab w:val="right" w:pos="963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277E" w14:textId="5A78ED2C" w:rsidR="00CA1442" w:rsidRDefault="00CA1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7AEB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744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CA55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EADB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42CA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2CD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D253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E0B5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EC4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AA77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E5D89"/>
    <w:multiLevelType w:val="hybridMultilevel"/>
    <w:tmpl w:val="56A4307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04CD5E78"/>
    <w:multiLevelType w:val="hybridMultilevel"/>
    <w:tmpl w:val="BF7C9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5C176DC"/>
    <w:multiLevelType w:val="hybridMultilevel"/>
    <w:tmpl w:val="198097BC"/>
    <w:lvl w:ilvl="0" w:tplc="9D3203C2">
      <w:numFmt w:val="none"/>
      <w:pStyle w:val="Tabletextbullet"/>
      <w:lvlText w:val=""/>
      <w:lvlJc w:val="left"/>
      <w:pPr>
        <w:tabs>
          <w:tab w:val="num" w:pos="360"/>
        </w:tabs>
      </w:pPr>
    </w:lvl>
    <w:lvl w:ilvl="1" w:tplc="8F54201E">
      <w:start w:val="1"/>
      <w:numFmt w:val="bullet"/>
      <w:lvlText w:val="o"/>
      <w:lvlJc w:val="left"/>
      <w:pPr>
        <w:tabs>
          <w:tab w:val="num" w:pos="1440"/>
        </w:tabs>
        <w:ind w:left="1440" w:hanging="360"/>
      </w:pPr>
      <w:rPr>
        <w:rFonts w:ascii="Courier New" w:hAnsi="Courier New" w:cs="Courier New" w:hint="default"/>
      </w:rPr>
    </w:lvl>
    <w:lvl w:ilvl="2" w:tplc="8786B19A" w:tentative="1">
      <w:start w:val="1"/>
      <w:numFmt w:val="bullet"/>
      <w:lvlText w:val=""/>
      <w:lvlJc w:val="left"/>
      <w:pPr>
        <w:tabs>
          <w:tab w:val="num" w:pos="2160"/>
        </w:tabs>
        <w:ind w:left="2160" w:hanging="360"/>
      </w:pPr>
      <w:rPr>
        <w:rFonts w:ascii="Wingdings" w:hAnsi="Wingdings" w:hint="default"/>
      </w:rPr>
    </w:lvl>
    <w:lvl w:ilvl="3" w:tplc="03425BB4" w:tentative="1">
      <w:start w:val="1"/>
      <w:numFmt w:val="bullet"/>
      <w:lvlText w:val=""/>
      <w:lvlJc w:val="left"/>
      <w:pPr>
        <w:tabs>
          <w:tab w:val="num" w:pos="2880"/>
        </w:tabs>
        <w:ind w:left="2880" w:hanging="360"/>
      </w:pPr>
      <w:rPr>
        <w:rFonts w:ascii="Symbol" w:hAnsi="Symbol" w:hint="default"/>
      </w:rPr>
    </w:lvl>
    <w:lvl w:ilvl="4" w:tplc="6638CA18" w:tentative="1">
      <w:start w:val="1"/>
      <w:numFmt w:val="bullet"/>
      <w:lvlText w:val="o"/>
      <w:lvlJc w:val="left"/>
      <w:pPr>
        <w:tabs>
          <w:tab w:val="num" w:pos="3600"/>
        </w:tabs>
        <w:ind w:left="3600" w:hanging="360"/>
      </w:pPr>
      <w:rPr>
        <w:rFonts w:ascii="Courier New" w:hAnsi="Courier New" w:cs="Courier New" w:hint="default"/>
      </w:rPr>
    </w:lvl>
    <w:lvl w:ilvl="5" w:tplc="AAC4963A" w:tentative="1">
      <w:start w:val="1"/>
      <w:numFmt w:val="bullet"/>
      <w:lvlText w:val=""/>
      <w:lvlJc w:val="left"/>
      <w:pPr>
        <w:tabs>
          <w:tab w:val="num" w:pos="4320"/>
        </w:tabs>
        <w:ind w:left="4320" w:hanging="360"/>
      </w:pPr>
      <w:rPr>
        <w:rFonts w:ascii="Wingdings" w:hAnsi="Wingdings" w:hint="default"/>
      </w:rPr>
    </w:lvl>
    <w:lvl w:ilvl="6" w:tplc="CAB8B40C" w:tentative="1">
      <w:start w:val="1"/>
      <w:numFmt w:val="bullet"/>
      <w:lvlText w:val=""/>
      <w:lvlJc w:val="left"/>
      <w:pPr>
        <w:tabs>
          <w:tab w:val="num" w:pos="5040"/>
        </w:tabs>
        <w:ind w:left="5040" w:hanging="360"/>
      </w:pPr>
      <w:rPr>
        <w:rFonts w:ascii="Symbol" w:hAnsi="Symbol" w:hint="default"/>
      </w:rPr>
    </w:lvl>
    <w:lvl w:ilvl="7" w:tplc="A32EA882" w:tentative="1">
      <w:start w:val="1"/>
      <w:numFmt w:val="bullet"/>
      <w:lvlText w:val="o"/>
      <w:lvlJc w:val="left"/>
      <w:pPr>
        <w:tabs>
          <w:tab w:val="num" w:pos="5760"/>
        </w:tabs>
        <w:ind w:left="5760" w:hanging="360"/>
      </w:pPr>
      <w:rPr>
        <w:rFonts w:ascii="Courier New" w:hAnsi="Courier New" w:cs="Courier New" w:hint="default"/>
      </w:rPr>
    </w:lvl>
    <w:lvl w:ilvl="8" w:tplc="F118B1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144F1D"/>
    <w:multiLevelType w:val="hybridMultilevel"/>
    <w:tmpl w:val="0C6CC61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1357E3"/>
    <w:multiLevelType w:val="hybridMultilevel"/>
    <w:tmpl w:val="E48096AA"/>
    <w:lvl w:ilvl="0" w:tplc="F04AF90E">
      <w:start w:val="1"/>
      <w:numFmt w:val="bullet"/>
      <w:lvlText w:val=""/>
      <w:lvlJc w:val="left"/>
      <w:pPr>
        <w:tabs>
          <w:tab w:val="num" w:pos="737"/>
        </w:tabs>
        <w:ind w:left="737" w:hanging="37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62074E"/>
    <w:multiLevelType w:val="hybridMultilevel"/>
    <w:tmpl w:val="DF0E9BF8"/>
    <w:lvl w:ilvl="0" w:tplc="0E5E6CC8">
      <w:start w:val="1"/>
      <w:numFmt w:val="decimal"/>
      <w:pStyle w:val="StyleHeading4Left254cm"/>
      <w:lvlText w:val="%1."/>
      <w:lvlJc w:val="left"/>
      <w:pPr>
        <w:tabs>
          <w:tab w:val="num" w:pos="0"/>
        </w:tabs>
        <w:ind w:left="0" w:firstLine="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40313F"/>
    <w:multiLevelType w:val="hybridMultilevel"/>
    <w:tmpl w:val="C27818A0"/>
    <w:lvl w:ilvl="0" w:tplc="AB149892">
      <w:start w:val="1"/>
      <w:numFmt w:val="bullet"/>
      <w:lvlText w:val=""/>
      <w:lvlJc w:val="left"/>
      <w:pPr>
        <w:tabs>
          <w:tab w:val="num" w:pos="737"/>
        </w:tabs>
        <w:ind w:left="73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50422E"/>
    <w:multiLevelType w:val="hybridMultilevel"/>
    <w:tmpl w:val="AEB4D7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20E19CF"/>
    <w:multiLevelType w:val="multilevel"/>
    <w:tmpl w:val="BD3E749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81519F"/>
    <w:multiLevelType w:val="multilevel"/>
    <w:tmpl w:val="0194F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2"/>
        </w:tabs>
        <w:ind w:left="54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AF776F8"/>
    <w:multiLevelType w:val="multilevel"/>
    <w:tmpl w:val="B06EE118"/>
    <w:lvl w:ilvl="0">
      <w:start w:val="37"/>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225A8E"/>
    <w:multiLevelType w:val="hybridMultilevel"/>
    <w:tmpl w:val="9E28C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80704F"/>
    <w:multiLevelType w:val="multilevel"/>
    <w:tmpl w:val="E05E1BB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7"/>
        </w:tabs>
        <w:ind w:left="857" w:hanging="432"/>
      </w:pPr>
      <w:rPr>
        <w:rFonts w:hint="default"/>
        <w:b w:val="0"/>
        <w:i w:val="0"/>
        <w:color w:val="auto"/>
      </w:rPr>
    </w:lvl>
    <w:lvl w:ilvl="2">
      <w:start w:val="1"/>
      <w:numFmt w:val="decimal"/>
      <w:lvlText w:val="%1.%2.%3."/>
      <w:lvlJc w:val="left"/>
      <w:pPr>
        <w:tabs>
          <w:tab w:val="num" w:pos="794"/>
        </w:tabs>
        <w:ind w:left="1361" w:hanging="79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F841EED"/>
    <w:multiLevelType w:val="hybridMultilevel"/>
    <w:tmpl w:val="1D76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A339DF"/>
    <w:multiLevelType w:val="multilevel"/>
    <w:tmpl w:val="63E01D60"/>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4501DB0"/>
    <w:multiLevelType w:val="hybridMultilevel"/>
    <w:tmpl w:val="2C02AE94"/>
    <w:lvl w:ilvl="0" w:tplc="08090005">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6" w15:restartNumberingAfterBreak="0">
    <w:nsid w:val="3B310F21"/>
    <w:multiLevelType w:val="hybridMultilevel"/>
    <w:tmpl w:val="8A50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C16522"/>
    <w:multiLevelType w:val="multilevel"/>
    <w:tmpl w:val="1196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E4524D6"/>
    <w:multiLevelType w:val="multilevel"/>
    <w:tmpl w:val="A736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444927"/>
    <w:multiLevelType w:val="hybridMultilevel"/>
    <w:tmpl w:val="24867E9A"/>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0" w15:restartNumberingAfterBreak="0">
    <w:nsid w:val="403561DE"/>
    <w:multiLevelType w:val="hybridMultilevel"/>
    <w:tmpl w:val="FF26E6BA"/>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31" w15:restartNumberingAfterBreak="0">
    <w:nsid w:val="4090060F"/>
    <w:multiLevelType w:val="hybridMultilevel"/>
    <w:tmpl w:val="3CD2C4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EF5F48"/>
    <w:multiLevelType w:val="multilevel"/>
    <w:tmpl w:val="46C8D480"/>
    <w:lvl w:ilvl="0">
      <w:start w:val="37"/>
      <w:numFmt w:val="decimal"/>
      <w:lvlText w:val="%1"/>
      <w:lvlJc w:val="left"/>
      <w:pPr>
        <w:ind w:left="420" w:hanging="420"/>
      </w:pPr>
      <w:rPr>
        <w:rFonts w:cs="Arial" w:hint="default"/>
        <w:color w:val="0000FF"/>
        <w:sz w:val="22"/>
        <w:u w:val="single"/>
      </w:rPr>
    </w:lvl>
    <w:lvl w:ilvl="1">
      <w:start w:val="2"/>
      <w:numFmt w:val="decimal"/>
      <w:lvlText w:val="%1.%2"/>
      <w:lvlJc w:val="left"/>
      <w:pPr>
        <w:ind w:left="420" w:hanging="420"/>
      </w:pPr>
      <w:rPr>
        <w:rFonts w:cs="Arial" w:hint="default"/>
        <w:color w:val="0000FF"/>
        <w:sz w:val="22"/>
        <w:u w:val="single"/>
      </w:rPr>
    </w:lvl>
    <w:lvl w:ilvl="2">
      <w:start w:val="1"/>
      <w:numFmt w:val="decimal"/>
      <w:lvlText w:val="%1.%2.%3"/>
      <w:lvlJc w:val="left"/>
      <w:pPr>
        <w:ind w:left="720" w:hanging="720"/>
      </w:pPr>
      <w:rPr>
        <w:rFonts w:cs="Arial" w:hint="default"/>
        <w:color w:val="0000FF"/>
        <w:sz w:val="22"/>
        <w:u w:val="single"/>
      </w:rPr>
    </w:lvl>
    <w:lvl w:ilvl="3">
      <w:start w:val="1"/>
      <w:numFmt w:val="decimal"/>
      <w:lvlText w:val="%1.%2.%3.%4"/>
      <w:lvlJc w:val="left"/>
      <w:pPr>
        <w:ind w:left="1080" w:hanging="1080"/>
      </w:pPr>
      <w:rPr>
        <w:rFonts w:cs="Arial" w:hint="default"/>
        <w:color w:val="0000FF"/>
        <w:sz w:val="22"/>
        <w:u w:val="single"/>
      </w:rPr>
    </w:lvl>
    <w:lvl w:ilvl="4">
      <w:start w:val="1"/>
      <w:numFmt w:val="decimal"/>
      <w:lvlText w:val="%1.%2.%3.%4.%5"/>
      <w:lvlJc w:val="left"/>
      <w:pPr>
        <w:ind w:left="1080" w:hanging="1080"/>
      </w:pPr>
      <w:rPr>
        <w:rFonts w:cs="Arial" w:hint="default"/>
        <w:color w:val="0000FF"/>
        <w:sz w:val="22"/>
        <w:u w:val="single"/>
      </w:rPr>
    </w:lvl>
    <w:lvl w:ilvl="5">
      <w:start w:val="1"/>
      <w:numFmt w:val="decimal"/>
      <w:lvlText w:val="%1.%2.%3.%4.%5.%6"/>
      <w:lvlJc w:val="left"/>
      <w:pPr>
        <w:ind w:left="1440" w:hanging="1440"/>
      </w:pPr>
      <w:rPr>
        <w:rFonts w:cs="Arial" w:hint="default"/>
        <w:color w:val="0000FF"/>
        <w:sz w:val="22"/>
        <w:u w:val="single"/>
      </w:rPr>
    </w:lvl>
    <w:lvl w:ilvl="6">
      <w:start w:val="1"/>
      <w:numFmt w:val="decimal"/>
      <w:lvlText w:val="%1.%2.%3.%4.%5.%6.%7"/>
      <w:lvlJc w:val="left"/>
      <w:pPr>
        <w:ind w:left="1440" w:hanging="1440"/>
      </w:pPr>
      <w:rPr>
        <w:rFonts w:cs="Arial" w:hint="default"/>
        <w:color w:val="0000FF"/>
        <w:sz w:val="22"/>
        <w:u w:val="single"/>
      </w:rPr>
    </w:lvl>
    <w:lvl w:ilvl="7">
      <w:start w:val="1"/>
      <w:numFmt w:val="decimal"/>
      <w:lvlText w:val="%1.%2.%3.%4.%5.%6.%7.%8"/>
      <w:lvlJc w:val="left"/>
      <w:pPr>
        <w:ind w:left="1800" w:hanging="1800"/>
      </w:pPr>
      <w:rPr>
        <w:rFonts w:cs="Arial" w:hint="default"/>
        <w:color w:val="0000FF"/>
        <w:sz w:val="22"/>
        <w:u w:val="single"/>
      </w:rPr>
    </w:lvl>
    <w:lvl w:ilvl="8">
      <w:start w:val="1"/>
      <w:numFmt w:val="decimal"/>
      <w:lvlText w:val="%1.%2.%3.%4.%5.%6.%7.%8.%9"/>
      <w:lvlJc w:val="left"/>
      <w:pPr>
        <w:ind w:left="1800" w:hanging="1800"/>
      </w:pPr>
      <w:rPr>
        <w:rFonts w:cs="Arial" w:hint="default"/>
        <w:color w:val="0000FF"/>
        <w:sz w:val="22"/>
        <w:u w:val="single"/>
      </w:rPr>
    </w:lvl>
  </w:abstractNum>
  <w:abstractNum w:abstractNumId="33" w15:restartNumberingAfterBreak="0">
    <w:nsid w:val="45824111"/>
    <w:multiLevelType w:val="hybridMultilevel"/>
    <w:tmpl w:val="D03A004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9964139"/>
    <w:multiLevelType w:val="hybridMultilevel"/>
    <w:tmpl w:val="E690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1007B1"/>
    <w:multiLevelType w:val="hybridMultilevel"/>
    <w:tmpl w:val="8FE6D436"/>
    <w:lvl w:ilvl="0" w:tplc="61A43740">
      <w:start w:val="1"/>
      <w:numFmt w:val="bullet"/>
      <w:lvlText w:val=""/>
      <w:lvlJc w:val="left"/>
      <w:pPr>
        <w:tabs>
          <w:tab w:val="num" w:pos="681"/>
        </w:tabs>
        <w:ind w:left="681" w:hanging="227"/>
      </w:pPr>
      <w:rPr>
        <w:rFonts w:ascii="Wingdings" w:hAnsi="Wingdings" w:hint="default"/>
      </w:rPr>
    </w:lvl>
    <w:lvl w:ilvl="1" w:tplc="04090003" w:tentative="1">
      <w:start w:val="1"/>
      <w:numFmt w:val="bullet"/>
      <w:lvlText w:val="o"/>
      <w:lvlJc w:val="left"/>
      <w:pPr>
        <w:tabs>
          <w:tab w:val="num" w:pos="3341"/>
        </w:tabs>
        <w:ind w:left="3341" w:hanging="360"/>
      </w:pPr>
      <w:rPr>
        <w:rFonts w:ascii="Courier New" w:hAnsi="Courier New" w:cs="Courier New" w:hint="default"/>
      </w:rPr>
    </w:lvl>
    <w:lvl w:ilvl="2" w:tplc="04090005" w:tentative="1">
      <w:start w:val="1"/>
      <w:numFmt w:val="bullet"/>
      <w:lvlText w:val=""/>
      <w:lvlJc w:val="left"/>
      <w:pPr>
        <w:tabs>
          <w:tab w:val="num" w:pos="4061"/>
        </w:tabs>
        <w:ind w:left="4061" w:hanging="360"/>
      </w:pPr>
      <w:rPr>
        <w:rFonts w:ascii="Wingdings" w:hAnsi="Wingdings" w:hint="default"/>
      </w:rPr>
    </w:lvl>
    <w:lvl w:ilvl="3" w:tplc="04090001" w:tentative="1">
      <w:start w:val="1"/>
      <w:numFmt w:val="bullet"/>
      <w:lvlText w:val=""/>
      <w:lvlJc w:val="left"/>
      <w:pPr>
        <w:tabs>
          <w:tab w:val="num" w:pos="4781"/>
        </w:tabs>
        <w:ind w:left="4781" w:hanging="360"/>
      </w:pPr>
      <w:rPr>
        <w:rFonts w:ascii="Symbol" w:hAnsi="Symbol" w:hint="default"/>
      </w:rPr>
    </w:lvl>
    <w:lvl w:ilvl="4" w:tplc="04090003" w:tentative="1">
      <w:start w:val="1"/>
      <w:numFmt w:val="bullet"/>
      <w:lvlText w:val="o"/>
      <w:lvlJc w:val="left"/>
      <w:pPr>
        <w:tabs>
          <w:tab w:val="num" w:pos="5501"/>
        </w:tabs>
        <w:ind w:left="5501" w:hanging="360"/>
      </w:pPr>
      <w:rPr>
        <w:rFonts w:ascii="Courier New" w:hAnsi="Courier New" w:cs="Courier New" w:hint="default"/>
      </w:rPr>
    </w:lvl>
    <w:lvl w:ilvl="5" w:tplc="04090005" w:tentative="1">
      <w:start w:val="1"/>
      <w:numFmt w:val="bullet"/>
      <w:lvlText w:val=""/>
      <w:lvlJc w:val="left"/>
      <w:pPr>
        <w:tabs>
          <w:tab w:val="num" w:pos="6221"/>
        </w:tabs>
        <w:ind w:left="6221" w:hanging="360"/>
      </w:pPr>
      <w:rPr>
        <w:rFonts w:ascii="Wingdings" w:hAnsi="Wingdings" w:hint="default"/>
      </w:rPr>
    </w:lvl>
    <w:lvl w:ilvl="6" w:tplc="04090001" w:tentative="1">
      <w:start w:val="1"/>
      <w:numFmt w:val="bullet"/>
      <w:lvlText w:val=""/>
      <w:lvlJc w:val="left"/>
      <w:pPr>
        <w:tabs>
          <w:tab w:val="num" w:pos="6941"/>
        </w:tabs>
        <w:ind w:left="6941" w:hanging="360"/>
      </w:pPr>
      <w:rPr>
        <w:rFonts w:ascii="Symbol" w:hAnsi="Symbol" w:hint="default"/>
      </w:rPr>
    </w:lvl>
    <w:lvl w:ilvl="7" w:tplc="04090003" w:tentative="1">
      <w:start w:val="1"/>
      <w:numFmt w:val="bullet"/>
      <w:lvlText w:val="o"/>
      <w:lvlJc w:val="left"/>
      <w:pPr>
        <w:tabs>
          <w:tab w:val="num" w:pos="7661"/>
        </w:tabs>
        <w:ind w:left="7661" w:hanging="360"/>
      </w:pPr>
      <w:rPr>
        <w:rFonts w:ascii="Courier New" w:hAnsi="Courier New" w:cs="Courier New" w:hint="default"/>
      </w:rPr>
    </w:lvl>
    <w:lvl w:ilvl="8" w:tplc="04090005" w:tentative="1">
      <w:start w:val="1"/>
      <w:numFmt w:val="bullet"/>
      <w:lvlText w:val=""/>
      <w:lvlJc w:val="left"/>
      <w:pPr>
        <w:tabs>
          <w:tab w:val="num" w:pos="8381"/>
        </w:tabs>
        <w:ind w:left="8381" w:hanging="360"/>
      </w:pPr>
      <w:rPr>
        <w:rFonts w:ascii="Wingdings" w:hAnsi="Wingdings" w:hint="default"/>
      </w:rPr>
    </w:lvl>
  </w:abstractNum>
  <w:abstractNum w:abstractNumId="36" w15:restartNumberingAfterBreak="0">
    <w:nsid w:val="5FFE5DA6"/>
    <w:multiLevelType w:val="hybridMultilevel"/>
    <w:tmpl w:val="3AB467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50C47D4"/>
    <w:multiLevelType w:val="multilevel"/>
    <w:tmpl w:val="877C37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3A37CA"/>
    <w:multiLevelType w:val="hybridMultilevel"/>
    <w:tmpl w:val="E716D356"/>
    <w:lvl w:ilvl="0" w:tplc="B9EADAD8">
      <w:start w:val="1"/>
      <w:numFmt w:val="bullet"/>
      <w:pStyle w:val="bulletlis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6D772DC"/>
    <w:multiLevelType w:val="hybridMultilevel"/>
    <w:tmpl w:val="4ADC2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A5530E"/>
    <w:multiLevelType w:val="hybridMultilevel"/>
    <w:tmpl w:val="2C3451F8"/>
    <w:lvl w:ilvl="0" w:tplc="08090017">
      <w:start w:val="1"/>
      <w:numFmt w:val="lowerLetter"/>
      <w:lvlText w:val="%1)"/>
      <w:lvlJc w:val="left"/>
      <w:pPr>
        <w:tabs>
          <w:tab w:val="num" w:pos="1174"/>
        </w:tabs>
        <w:ind w:left="1174" w:hanging="720"/>
      </w:pPr>
      <w:rPr>
        <w:rFonts w:hint="default"/>
        <w:u w:val="none"/>
      </w:rPr>
    </w:lvl>
    <w:lvl w:ilvl="1" w:tplc="04090003">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41" w15:restartNumberingAfterBreak="0">
    <w:nsid w:val="7B803323"/>
    <w:multiLevelType w:val="hybridMultilevel"/>
    <w:tmpl w:val="4ADAD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BAB0F97"/>
    <w:multiLevelType w:val="multilevel"/>
    <w:tmpl w:val="9A9840CA"/>
    <w:lvl w:ilvl="0">
      <w:start w:val="37"/>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4D7E8E"/>
    <w:multiLevelType w:val="hybridMultilevel"/>
    <w:tmpl w:val="E90AD47A"/>
    <w:lvl w:ilvl="0" w:tplc="03DAF990">
      <w:start w:val="1"/>
      <w:numFmt w:val="bullet"/>
      <w:pStyle w:val="Bulleted"/>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8"/>
  </w:num>
  <w:num w:numId="3">
    <w:abstractNumId w:val="1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3"/>
  </w:num>
  <w:num w:numId="14">
    <w:abstractNumId w:val="22"/>
  </w:num>
  <w:num w:numId="15">
    <w:abstractNumId w:val="33"/>
  </w:num>
  <w:num w:numId="16">
    <w:abstractNumId w:val="13"/>
  </w:num>
  <w:num w:numId="17">
    <w:abstractNumId w:val="14"/>
  </w:num>
  <w:num w:numId="18">
    <w:abstractNumId w:val="29"/>
  </w:num>
  <w:num w:numId="19">
    <w:abstractNumId w:val="16"/>
  </w:num>
  <w:num w:numId="20">
    <w:abstractNumId w:val="24"/>
  </w:num>
  <w:num w:numId="21">
    <w:abstractNumId w:val="19"/>
  </w:num>
  <w:num w:numId="22">
    <w:abstractNumId w:val="35"/>
  </w:num>
  <w:num w:numId="23">
    <w:abstractNumId w:val="12"/>
  </w:num>
  <w:num w:numId="24">
    <w:abstractNumId w:val="36"/>
  </w:num>
  <w:num w:numId="25">
    <w:abstractNumId w:val="17"/>
  </w:num>
  <w:num w:numId="26">
    <w:abstractNumId w:val="21"/>
  </w:num>
  <w:num w:numId="27">
    <w:abstractNumId w:val="26"/>
  </w:num>
  <w:num w:numId="28">
    <w:abstractNumId w:val="25"/>
  </w:num>
  <w:num w:numId="29">
    <w:abstractNumId w:val="31"/>
  </w:num>
  <w:num w:numId="30">
    <w:abstractNumId w:val="40"/>
  </w:num>
  <w:num w:numId="31">
    <w:abstractNumId w:val="10"/>
  </w:num>
  <w:num w:numId="32">
    <w:abstractNumId w:val="30"/>
  </w:num>
  <w:num w:numId="33">
    <w:abstractNumId w:val="11"/>
  </w:num>
  <w:num w:numId="34">
    <w:abstractNumId w:val="41"/>
  </w:num>
  <w:num w:numId="35">
    <w:abstractNumId w:val="39"/>
  </w:num>
  <w:num w:numId="36">
    <w:abstractNumId w:val="32"/>
  </w:num>
  <w:num w:numId="37">
    <w:abstractNumId w:val="20"/>
  </w:num>
  <w:num w:numId="38">
    <w:abstractNumId w:val="42"/>
  </w:num>
  <w:num w:numId="39">
    <w:abstractNumId w:val="37"/>
  </w:num>
  <w:num w:numId="40">
    <w:abstractNumId w:val="27"/>
  </w:num>
  <w:num w:numId="41">
    <w:abstractNumId w:val="28"/>
  </w:num>
  <w:num w:numId="42">
    <w:abstractNumId w:val="18"/>
  </w:num>
  <w:num w:numId="43">
    <w:abstractNumId w:val="23"/>
  </w:num>
  <w:num w:numId="44">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27"/>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6DF"/>
    <w:rsid w:val="00000677"/>
    <w:rsid w:val="0000074A"/>
    <w:rsid w:val="00000B51"/>
    <w:rsid w:val="00000D63"/>
    <w:rsid w:val="00001783"/>
    <w:rsid w:val="00001B8E"/>
    <w:rsid w:val="00002314"/>
    <w:rsid w:val="000025F7"/>
    <w:rsid w:val="00002AA4"/>
    <w:rsid w:val="00002C74"/>
    <w:rsid w:val="00003841"/>
    <w:rsid w:val="00003BEE"/>
    <w:rsid w:val="00003F50"/>
    <w:rsid w:val="00003F79"/>
    <w:rsid w:val="00004B01"/>
    <w:rsid w:val="00004E28"/>
    <w:rsid w:val="00005E79"/>
    <w:rsid w:val="00005EF7"/>
    <w:rsid w:val="00006A5F"/>
    <w:rsid w:val="0000709C"/>
    <w:rsid w:val="00007104"/>
    <w:rsid w:val="00007221"/>
    <w:rsid w:val="0000758B"/>
    <w:rsid w:val="000102DA"/>
    <w:rsid w:val="0001039E"/>
    <w:rsid w:val="00012EF4"/>
    <w:rsid w:val="00014084"/>
    <w:rsid w:val="00014659"/>
    <w:rsid w:val="00014708"/>
    <w:rsid w:val="00015210"/>
    <w:rsid w:val="000154E3"/>
    <w:rsid w:val="00015936"/>
    <w:rsid w:val="00015B24"/>
    <w:rsid w:val="000162B8"/>
    <w:rsid w:val="000168F2"/>
    <w:rsid w:val="00016BA4"/>
    <w:rsid w:val="00017445"/>
    <w:rsid w:val="00017452"/>
    <w:rsid w:val="000176D3"/>
    <w:rsid w:val="00017863"/>
    <w:rsid w:val="00020A87"/>
    <w:rsid w:val="00021160"/>
    <w:rsid w:val="00021998"/>
    <w:rsid w:val="00022A78"/>
    <w:rsid w:val="00022F47"/>
    <w:rsid w:val="000230F9"/>
    <w:rsid w:val="000242AC"/>
    <w:rsid w:val="00024A96"/>
    <w:rsid w:val="00024D37"/>
    <w:rsid w:val="00024F84"/>
    <w:rsid w:val="000255EC"/>
    <w:rsid w:val="000255EE"/>
    <w:rsid w:val="0002578C"/>
    <w:rsid w:val="00025C71"/>
    <w:rsid w:val="000261F5"/>
    <w:rsid w:val="000262F0"/>
    <w:rsid w:val="00026507"/>
    <w:rsid w:val="00026CC2"/>
    <w:rsid w:val="00026E42"/>
    <w:rsid w:val="00027341"/>
    <w:rsid w:val="0002762E"/>
    <w:rsid w:val="00027772"/>
    <w:rsid w:val="000308D7"/>
    <w:rsid w:val="00030D1C"/>
    <w:rsid w:val="000323B1"/>
    <w:rsid w:val="00032C17"/>
    <w:rsid w:val="00032C41"/>
    <w:rsid w:val="00032D13"/>
    <w:rsid w:val="000339D0"/>
    <w:rsid w:val="00033CF2"/>
    <w:rsid w:val="00034885"/>
    <w:rsid w:val="0003490A"/>
    <w:rsid w:val="00035193"/>
    <w:rsid w:val="0003541C"/>
    <w:rsid w:val="00035792"/>
    <w:rsid w:val="00035ABA"/>
    <w:rsid w:val="00036752"/>
    <w:rsid w:val="00036CF1"/>
    <w:rsid w:val="00036E97"/>
    <w:rsid w:val="000372AB"/>
    <w:rsid w:val="00037651"/>
    <w:rsid w:val="00037DBF"/>
    <w:rsid w:val="00040060"/>
    <w:rsid w:val="000407F9"/>
    <w:rsid w:val="00040ECD"/>
    <w:rsid w:val="000410D1"/>
    <w:rsid w:val="0004133C"/>
    <w:rsid w:val="000414F2"/>
    <w:rsid w:val="00042220"/>
    <w:rsid w:val="00042700"/>
    <w:rsid w:val="00042D54"/>
    <w:rsid w:val="000435CC"/>
    <w:rsid w:val="000435E6"/>
    <w:rsid w:val="000447F3"/>
    <w:rsid w:val="000451A6"/>
    <w:rsid w:val="00045BE4"/>
    <w:rsid w:val="00045E90"/>
    <w:rsid w:val="00045ECF"/>
    <w:rsid w:val="000465A4"/>
    <w:rsid w:val="00047018"/>
    <w:rsid w:val="0004717E"/>
    <w:rsid w:val="00047331"/>
    <w:rsid w:val="000473DA"/>
    <w:rsid w:val="00047901"/>
    <w:rsid w:val="00047CC4"/>
    <w:rsid w:val="00047FDE"/>
    <w:rsid w:val="0005012B"/>
    <w:rsid w:val="00050C93"/>
    <w:rsid w:val="00050F36"/>
    <w:rsid w:val="00051843"/>
    <w:rsid w:val="00051A6B"/>
    <w:rsid w:val="000526DE"/>
    <w:rsid w:val="0005285D"/>
    <w:rsid w:val="00052915"/>
    <w:rsid w:val="00052A8C"/>
    <w:rsid w:val="000533C4"/>
    <w:rsid w:val="0005369C"/>
    <w:rsid w:val="000539B5"/>
    <w:rsid w:val="00053A0C"/>
    <w:rsid w:val="00053CD0"/>
    <w:rsid w:val="00053CDD"/>
    <w:rsid w:val="00054367"/>
    <w:rsid w:val="000547DD"/>
    <w:rsid w:val="00055569"/>
    <w:rsid w:val="000557CF"/>
    <w:rsid w:val="000559BE"/>
    <w:rsid w:val="0005625E"/>
    <w:rsid w:val="000564D2"/>
    <w:rsid w:val="0005773F"/>
    <w:rsid w:val="000602B0"/>
    <w:rsid w:val="0006044E"/>
    <w:rsid w:val="00060519"/>
    <w:rsid w:val="00060C0F"/>
    <w:rsid w:val="00060EA2"/>
    <w:rsid w:val="0006163A"/>
    <w:rsid w:val="00061DA7"/>
    <w:rsid w:val="00061DC9"/>
    <w:rsid w:val="000623AD"/>
    <w:rsid w:val="00062BB6"/>
    <w:rsid w:val="0006349E"/>
    <w:rsid w:val="00063F4F"/>
    <w:rsid w:val="00064E60"/>
    <w:rsid w:val="00065062"/>
    <w:rsid w:val="00065098"/>
    <w:rsid w:val="0006649F"/>
    <w:rsid w:val="00066B04"/>
    <w:rsid w:val="00066EC5"/>
    <w:rsid w:val="0006703F"/>
    <w:rsid w:val="00067C9C"/>
    <w:rsid w:val="00067D12"/>
    <w:rsid w:val="0007040F"/>
    <w:rsid w:val="0007047B"/>
    <w:rsid w:val="00070D81"/>
    <w:rsid w:val="00071163"/>
    <w:rsid w:val="000713F5"/>
    <w:rsid w:val="00071CC2"/>
    <w:rsid w:val="00072501"/>
    <w:rsid w:val="000727BC"/>
    <w:rsid w:val="0007371F"/>
    <w:rsid w:val="000739D2"/>
    <w:rsid w:val="00075144"/>
    <w:rsid w:val="00075247"/>
    <w:rsid w:val="00075397"/>
    <w:rsid w:val="000753CE"/>
    <w:rsid w:val="0007628B"/>
    <w:rsid w:val="0007672B"/>
    <w:rsid w:val="00076D29"/>
    <w:rsid w:val="00076E5A"/>
    <w:rsid w:val="00076FC9"/>
    <w:rsid w:val="000771A9"/>
    <w:rsid w:val="00077B36"/>
    <w:rsid w:val="00077DCE"/>
    <w:rsid w:val="0008018A"/>
    <w:rsid w:val="000805CD"/>
    <w:rsid w:val="00080B3D"/>
    <w:rsid w:val="00080FEE"/>
    <w:rsid w:val="00080FF3"/>
    <w:rsid w:val="000811A5"/>
    <w:rsid w:val="00081A89"/>
    <w:rsid w:val="00081D18"/>
    <w:rsid w:val="0008213A"/>
    <w:rsid w:val="00082CB3"/>
    <w:rsid w:val="00083146"/>
    <w:rsid w:val="000833CD"/>
    <w:rsid w:val="00083A2A"/>
    <w:rsid w:val="000843D4"/>
    <w:rsid w:val="00084740"/>
    <w:rsid w:val="000847A4"/>
    <w:rsid w:val="0008486E"/>
    <w:rsid w:val="00084936"/>
    <w:rsid w:val="00085756"/>
    <w:rsid w:val="00085919"/>
    <w:rsid w:val="0008595E"/>
    <w:rsid w:val="00085D4C"/>
    <w:rsid w:val="00085F27"/>
    <w:rsid w:val="00085F51"/>
    <w:rsid w:val="00086717"/>
    <w:rsid w:val="0008671D"/>
    <w:rsid w:val="00086848"/>
    <w:rsid w:val="00086858"/>
    <w:rsid w:val="000868D3"/>
    <w:rsid w:val="00086FE4"/>
    <w:rsid w:val="000871D9"/>
    <w:rsid w:val="00087379"/>
    <w:rsid w:val="0008754D"/>
    <w:rsid w:val="00087EB0"/>
    <w:rsid w:val="000900E1"/>
    <w:rsid w:val="000907B7"/>
    <w:rsid w:val="00090CEF"/>
    <w:rsid w:val="00090EEE"/>
    <w:rsid w:val="00091223"/>
    <w:rsid w:val="00091E4E"/>
    <w:rsid w:val="000926E0"/>
    <w:rsid w:val="000929D6"/>
    <w:rsid w:val="00092DEC"/>
    <w:rsid w:val="00093219"/>
    <w:rsid w:val="000932F5"/>
    <w:rsid w:val="00093774"/>
    <w:rsid w:val="00093AA1"/>
    <w:rsid w:val="00093B7E"/>
    <w:rsid w:val="00094746"/>
    <w:rsid w:val="00095052"/>
    <w:rsid w:val="000957D5"/>
    <w:rsid w:val="00095B4F"/>
    <w:rsid w:val="0009649F"/>
    <w:rsid w:val="00097DE7"/>
    <w:rsid w:val="000A0224"/>
    <w:rsid w:val="000A0260"/>
    <w:rsid w:val="000A050E"/>
    <w:rsid w:val="000A085F"/>
    <w:rsid w:val="000A0EA1"/>
    <w:rsid w:val="000A1E56"/>
    <w:rsid w:val="000A280E"/>
    <w:rsid w:val="000A3012"/>
    <w:rsid w:val="000A3147"/>
    <w:rsid w:val="000A3151"/>
    <w:rsid w:val="000A3D9B"/>
    <w:rsid w:val="000A3FE8"/>
    <w:rsid w:val="000A4A07"/>
    <w:rsid w:val="000A4E27"/>
    <w:rsid w:val="000A5228"/>
    <w:rsid w:val="000A5C11"/>
    <w:rsid w:val="000A64A8"/>
    <w:rsid w:val="000A6B3C"/>
    <w:rsid w:val="000A7B68"/>
    <w:rsid w:val="000A7E1A"/>
    <w:rsid w:val="000A7E8F"/>
    <w:rsid w:val="000B09F8"/>
    <w:rsid w:val="000B0DEF"/>
    <w:rsid w:val="000B0DF2"/>
    <w:rsid w:val="000B1CDC"/>
    <w:rsid w:val="000B3020"/>
    <w:rsid w:val="000B313D"/>
    <w:rsid w:val="000B3600"/>
    <w:rsid w:val="000B36B2"/>
    <w:rsid w:val="000B3741"/>
    <w:rsid w:val="000B3927"/>
    <w:rsid w:val="000B3D6A"/>
    <w:rsid w:val="000B4920"/>
    <w:rsid w:val="000B6A95"/>
    <w:rsid w:val="000B6DBE"/>
    <w:rsid w:val="000B76A4"/>
    <w:rsid w:val="000B76E1"/>
    <w:rsid w:val="000B7D3C"/>
    <w:rsid w:val="000C023D"/>
    <w:rsid w:val="000C079D"/>
    <w:rsid w:val="000C0BFC"/>
    <w:rsid w:val="000C0BFF"/>
    <w:rsid w:val="000C0E19"/>
    <w:rsid w:val="000C1262"/>
    <w:rsid w:val="000C18ED"/>
    <w:rsid w:val="000C1BA0"/>
    <w:rsid w:val="000C2EFE"/>
    <w:rsid w:val="000C37FA"/>
    <w:rsid w:val="000C3B4D"/>
    <w:rsid w:val="000C3C79"/>
    <w:rsid w:val="000C44CF"/>
    <w:rsid w:val="000C4883"/>
    <w:rsid w:val="000C4CB1"/>
    <w:rsid w:val="000C4FE4"/>
    <w:rsid w:val="000C5234"/>
    <w:rsid w:val="000C52C4"/>
    <w:rsid w:val="000C5A4E"/>
    <w:rsid w:val="000C5B5E"/>
    <w:rsid w:val="000C5BF2"/>
    <w:rsid w:val="000C6AD5"/>
    <w:rsid w:val="000C7089"/>
    <w:rsid w:val="000C7530"/>
    <w:rsid w:val="000C7D24"/>
    <w:rsid w:val="000D0705"/>
    <w:rsid w:val="000D1388"/>
    <w:rsid w:val="000D142E"/>
    <w:rsid w:val="000D168E"/>
    <w:rsid w:val="000D1F33"/>
    <w:rsid w:val="000D2262"/>
    <w:rsid w:val="000D2F52"/>
    <w:rsid w:val="000D33C3"/>
    <w:rsid w:val="000D3560"/>
    <w:rsid w:val="000D4245"/>
    <w:rsid w:val="000D46FD"/>
    <w:rsid w:val="000D4DB8"/>
    <w:rsid w:val="000D4F13"/>
    <w:rsid w:val="000D51B5"/>
    <w:rsid w:val="000D5396"/>
    <w:rsid w:val="000D5406"/>
    <w:rsid w:val="000D6038"/>
    <w:rsid w:val="000D63CB"/>
    <w:rsid w:val="000D6438"/>
    <w:rsid w:val="000D776E"/>
    <w:rsid w:val="000E02C8"/>
    <w:rsid w:val="000E0338"/>
    <w:rsid w:val="000E0891"/>
    <w:rsid w:val="000E0B09"/>
    <w:rsid w:val="000E1820"/>
    <w:rsid w:val="000E1D33"/>
    <w:rsid w:val="000E2527"/>
    <w:rsid w:val="000E29DB"/>
    <w:rsid w:val="000E30E4"/>
    <w:rsid w:val="000E3342"/>
    <w:rsid w:val="000E343C"/>
    <w:rsid w:val="000E39B5"/>
    <w:rsid w:val="000E40C2"/>
    <w:rsid w:val="000E42D6"/>
    <w:rsid w:val="000E470D"/>
    <w:rsid w:val="000E5661"/>
    <w:rsid w:val="000E56D5"/>
    <w:rsid w:val="000E650F"/>
    <w:rsid w:val="000E6B4A"/>
    <w:rsid w:val="000E6F37"/>
    <w:rsid w:val="000E796F"/>
    <w:rsid w:val="000E7B58"/>
    <w:rsid w:val="000E7F54"/>
    <w:rsid w:val="000F152B"/>
    <w:rsid w:val="000F2607"/>
    <w:rsid w:val="000F266C"/>
    <w:rsid w:val="000F339C"/>
    <w:rsid w:val="000F40E4"/>
    <w:rsid w:val="000F4351"/>
    <w:rsid w:val="000F4DFE"/>
    <w:rsid w:val="000F5424"/>
    <w:rsid w:val="000F63D7"/>
    <w:rsid w:val="000F65EC"/>
    <w:rsid w:val="000F753F"/>
    <w:rsid w:val="000F759E"/>
    <w:rsid w:val="00100277"/>
    <w:rsid w:val="00102544"/>
    <w:rsid w:val="00102756"/>
    <w:rsid w:val="00102795"/>
    <w:rsid w:val="00103663"/>
    <w:rsid w:val="00104477"/>
    <w:rsid w:val="00104A57"/>
    <w:rsid w:val="001052AE"/>
    <w:rsid w:val="001059B8"/>
    <w:rsid w:val="00105D7D"/>
    <w:rsid w:val="00106309"/>
    <w:rsid w:val="00106489"/>
    <w:rsid w:val="00106836"/>
    <w:rsid w:val="00106A57"/>
    <w:rsid w:val="00106FB0"/>
    <w:rsid w:val="0010701D"/>
    <w:rsid w:val="001073A9"/>
    <w:rsid w:val="00107E62"/>
    <w:rsid w:val="00107EC9"/>
    <w:rsid w:val="00111306"/>
    <w:rsid w:val="00111B0D"/>
    <w:rsid w:val="00111CE2"/>
    <w:rsid w:val="00112305"/>
    <w:rsid w:val="0011295E"/>
    <w:rsid w:val="00112B9D"/>
    <w:rsid w:val="00112D61"/>
    <w:rsid w:val="0011326E"/>
    <w:rsid w:val="00113651"/>
    <w:rsid w:val="00113C7E"/>
    <w:rsid w:val="001141E3"/>
    <w:rsid w:val="001147E7"/>
    <w:rsid w:val="00114A7B"/>
    <w:rsid w:val="00114AB0"/>
    <w:rsid w:val="00114DB5"/>
    <w:rsid w:val="00115358"/>
    <w:rsid w:val="0011562A"/>
    <w:rsid w:val="00115E5D"/>
    <w:rsid w:val="00115E6C"/>
    <w:rsid w:val="00116378"/>
    <w:rsid w:val="00116436"/>
    <w:rsid w:val="00116800"/>
    <w:rsid w:val="001168CF"/>
    <w:rsid w:val="00116AAA"/>
    <w:rsid w:val="00116B26"/>
    <w:rsid w:val="00116D1E"/>
    <w:rsid w:val="0011729F"/>
    <w:rsid w:val="0011730F"/>
    <w:rsid w:val="00117EB7"/>
    <w:rsid w:val="0012006A"/>
    <w:rsid w:val="00120431"/>
    <w:rsid w:val="00120452"/>
    <w:rsid w:val="00120965"/>
    <w:rsid w:val="001209BE"/>
    <w:rsid w:val="0012163D"/>
    <w:rsid w:val="00121E25"/>
    <w:rsid w:val="00121F5B"/>
    <w:rsid w:val="00122492"/>
    <w:rsid w:val="0012302D"/>
    <w:rsid w:val="00123405"/>
    <w:rsid w:val="001234FF"/>
    <w:rsid w:val="00123915"/>
    <w:rsid w:val="00123CA8"/>
    <w:rsid w:val="00123FD9"/>
    <w:rsid w:val="00124522"/>
    <w:rsid w:val="0012530F"/>
    <w:rsid w:val="001254C3"/>
    <w:rsid w:val="001255F6"/>
    <w:rsid w:val="0012588C"/>
    <w:rsid w:val="001262ED"/>
    <w:rsid w:val="00126338"/>
    <w:rsid w:val="00131589"/>
    <w:rsid w:val="001322B1"/>
    <w:rsid w:val="0013249D"/>
    <w:rsid w:val="0013279D"/>
    <w:rsid w:val="001328A1"/>
    <w:rsid w:val="00132AF7"/>
    <w:rsid w:val="00132B10"/>
    <w:rsid w:val="00132FAA"/>
    <w:rsid w:val="0013363F"/>
    <w:rsid w:val="00133D56"/>
    <w:rsid w:val="00133F0E"/>
    <w:rsid w:val="00134F27"/>
    <w:rsid w:val="001350CB"/>
    <w:rsid w:val="00135BA7"/>
    <w:rsid w:val="001363E6"/>
    <w:rsid w:val="00136743"/>
    <w:rsid w:val="001369F3"/>
    <w:rsid w:val="00136B5E"/>
    <w:rsid w:val="00136CC1"/>
    <w:rsid w:val="00137682"/>
    <w:rsid w:val="00137987"/>
    <w:rsid w:val="001379EF"/>
    <w:rsid w:val="00137C46"/>
    <w:rsid w:val="00140B44"/>
    <w:rsid w:val="00140F0E"/>
    <w:rsid w:val="00141E04"/>
    <w:rsid w:val="001420FA"/>
    <w:rsid w:val="00142963"/>
    <w:rsid w:val="001437CB"/>
    <w:rsid w:val="0014452C"/>
    <w:rsid w:val="00144AA7"/>
    <w:rsid w:val="00144ED1"/>
    <w:rsid w:val="001472AB"/>
    <w:rsid w:val="00147416"/>
    <w:rsid w:val="0014743A"/>
    <w:rsid w:val="00147461"/>
    <w:rsid w:val="001500CF"/>
    <w:rsid w:val="00150536"/>
    <w:rsid w:val="001514E3"/>
    <w:rsid w:val="001519C8"/>
    <w:rsid w:val="00151B74"/>
    <w:rsid w:val="001522C7"/>
    <w:rsid w:val="001522CF"/>
    <w:rsid w:val="0015242D"/>
    <w:rsid w:val="001531F2"/>
    <w:rsid w:val="00153530"/>
    <w:rsid w:val="00153D8A"/>
    <w:rsid w:val="00154B5E"/>
    <w:rsid w:val="0015505B"/>
    <w:rsid w:val="001550F4"/>
    <w:rsid w:val="00155446"/>
    <w:rsid w:val="00155722"/>
    <w:rsid w:val="00155852"/>
    <w:rsid w:val="0015755A"/>
    <w:rsid w:val="001578C0"/>
    <w:rsid w:val="00157C1D"/>
    <w:rsid w:val="00160074"/>
    <w:rsid w:val="00160747"/>
    <w:rsid w:val="00160761"/>
    <w:rsid w:val="00161034"/>
    <w:rsid w:val="001620A4"/>
    <w:rsid w:val="001622B0"/>
    <w:rsid w:val="00162FC8"/>
    <w:rsid w:val="0016375C"/>
    <w:rsid w:val="00163C5D"/>
    <w:rsid w:val="00163C8B"/>
    <w:rsid w:val="001642FA"/>
    <w:rsid w:val="00164DF5"/>
    <w:rsid w:val="001653DC"/>
    <w:rsid w:val="001657D0"/>
    <w:rsid w:val="00165A30"/>
    <w:rsid w:val="0016626B"/>
    <w:rsid w:val="00166962"/>
    <w:rsid w:val="00166FD7"/>
    <w:rsid w:val="001675BC"/>
    <w:rsid w:val="00167A02"/>
    <w:rsid w:val="00167D05"/>
    <w:rsid w:val="00167DB1"/>
    <w:rsid w:val="00167EB5"/>
    <w:rsid w:val="00171098"/>
    <w:rsid w:val="00171B15"/>
    <w:rsid w:val="00172A39"/>
    <w:rsid w:val="00173045"/>
    <w:rsid w:val="00173413"/>
    <w:rsid w:val="001735E0"/>
    <w:rsid w:val="00173737"/>
    <w:rsid w:val="00173DB5"/>
    <w:rsid w:val="001747F5"/>
    <w:rsid w:val="00174F58"/>
    <w:rsid w:val="00175281"/>
    <w:rsid w:val="001757B3"/>
    <w:rsid w:val="0017607C"/>
    <w:rsid w:val="0017632D"/>
    <w:rsid w:val="00176F13"/>
    <w:rsid w:val="0017756C"/>
    <w:rsid w:val="00177694"/>
    <w:rsid w:val="001802A7"/>
    <w:rsid w:val="001803B2"/>
    <w:rsid w:val="00180B45"/>
    <w:rsid w:val="00180C90"/>
    <w:rsid w:val="00180D50"/>
    <w:rsid w:val="0018108F"/>
    <w:rsid w:val="0018144E"/>
    <w:rsid w:val="0018166A"/>
    <w:rsid w:val="00181C98"/>
    <w:rsid w:val="0018207A"/>
    <w:rsid w:val="00182270"/>
    <w:rsid w:val="00182780"/>
    <w:rsid w:val="00182A53"/>
    <w:rsid w:val="00182BBE"/>
    <w:rsid w:val="00182BCD"/>
    <w:rsid w:val="00182D31"/>
    <w:rsid w:val="00182DD3"/>
    <w:rsid w:val="00183353"/>
    <w:rsid w:val="00183437"/>
    <w:rsid w:val="00183447"/>
    <w:rsid w:val="00183A25"/>
    <w:rsid w:val="00183D2A"/>
    <w:rsid w:val="00184633"/>
    <w:rsid w:val="00184D23"/>
    <w:rsid w:val="00184EB7"/>
    <w:rsid w:val="0018542E"/>
    <w:rsid w:val="00185928"/>
    <w:rsid w:val="00185B5F"/>
    <w:rsid w:val="00185EAF"/>
    <w:rsid w:val="0018625C"/>
    <w:rsid w:val="001865FA"/>
    <w:rsid w:val="00186D12"/>
    <w:rsid w:val="001874CE"/>
    <w:rsid w:val="00187753"/>
    <w:rsid w:val="001878E0"/>
    <w:rsid w:val="00187A0F"/>
    <w:rsid w:val="0019008D"/>
    <w:rsid w:val="00190BCB"/>
    <w:rsid w:val="00190C8B"/>
    <w:rsid w:val="00190F98"/>
    <w:rsid w:val="00191094"/>
    <w:rsid w:val="00191600"/>
    <w:rsid w:val="00191ABC"/>
    <w:rsid w:val="00191EBD"/>
    <w:rsid w:val="0019266D"/>
    <w:rsid w:val="00192BA5"/>
    <w:rsid w:val="00192E22"/>
    <w:rsid w:val="0019373F"/>
    <w:rsid w:val="00193CD7"/>
    <w:rsid w:val="00194A01"/>
    <w:rsid w:val="00194E8E"/>
    <w:rsid w:val="00194F19"/>
    <w:rsid w:val="001950F4"/>
    <w:rsid w:val="001959E6"/>
    <w:rsid w:val="00195AAB"/>
    <w:rsid w:val="00196483"/>
    <w:rsid w:val="0019659D"/>
    <w:rsid w:val="00196C77"/>
    <w:rsid w:val="00196F1F"/>
    <w:rsid w:val="00197055"/>
    <w:rsid w:val="00197197"/>
    <w:rsid w:val="0019726B"/>
    <w:rsid w:val="00197A3B"/>
    <w:rsid w:val="001A0053"/>
    <w:rsid w:val="001A017D"/>
    <w:rsid w:val="001A086E"/>
    <w:rsid w:val="001A098F"/>
    <w:rsid w:val="001A131E"/>
    <w:rsid w:val="001A1939"/>
    <w:rsid w:val="001A1CE2"/>
    <w:rsid w:val="001A247E"/>
    <w:rsid w:val="001A2A97"/>
    <w:rsid w:val="001A2D60"/>
    <w:rsid w:val="001A3129"/>
    <w:rsid w:val="001A379E"/>
    <w:rsid w:val="001A3C47"/>
    <w:rsid w:val="001A40D8"/>
    <w:rsid w:val="001A4CBF"/>
    <w:rsid w:val="001A4D7D"/>
    <w:rsid w:val="001A50AE"/>
    <w:rsid w:val="001A53F4"/>
    <w:rsid w:val="001A5560"/>
    <w:rsid w:val="001A6A5F"/>
    <w:rsid w:val="001A70DD"/>
    <w:rsid w:val="001B008E"/>
    <w:rsid w:val="001B0598"/>
    <w:rsid w:val="001B0928"/>
    <w:rsid w:val="001B094A"/>
    <w:rsid w:val="001B1551"/>
    <w:rsid w:val="001B16C2"/>
    <w:rsid w:val="001B16FB"/>
    <w:rsid w:val="001B1774"/>
    <w:rsid w:val="001B1793"/>
    <w:rsid w:val="001B17E2"/>
    <w:rsid w:val="001B19A5"/>
    <w:rsid w:val="001B20E4"/>
    <w:rsid w:val="001B3103"/>
    <w:rsid w:val="001B359A"/>
    <w:rsid w:val="001B3AFB"/>
    <w:rsid w:val="001B3E79"/>
    <w:rsid w:val="001B45BB"/>
    <w:rsid w:val="001B4C5F"/>
    <w:rsid w:val="001B4E19"/>
    <w:rsid w:val="001B4F38"/>
    <w:rsid w:val="001B55C6"/>
    <w:rsid w:val="001B576D"/>
    <w:rsid w:val="001B5839"/>
    <w:rsid w:val="001B5E4E"/>
    <w:rsid w:val="001B7084"/>
    <w:rsid w:val="001B72CF"/>
    <w:rsid w:val="001B7D37"/>
    <w:rsid w:val="001C025A"/>
    <w:rsid w:val="001C09AB"/>
    <w:rsid w:val="001C0A34"/>
    <w:rsid w:val="001C1476"/>
    <w:rsid w:val="001C1516"/>
    <w:rsid w:val="001C1EE6"/>
    <w:rsid w:val="001C2671"/>
    <w:rsid w:val="001C2896"/>
    <w:rsid w:val="001C2CF8"/>
    <w:rsid w:val="001C2DAA"/>
    <w:rsid w:val="001C2FA5"/>
    <w:rsid w:val="001C310C"/>
    <w:rsid w:val="001C408D"/>
    <w:rsid w:val="001C45E3"/>
    <w:rsid w:val="001C47A2"/>
    <w:rsid w:val="001C49F5"/>
    <w:rsid w:val="001C4AB2"/>
    <w:rsid w:val="001C5534"/>
    <w:rsid w:val="001C607C"/>
    <w:rsid w:val="001C6474"/>
    <w:rsid w:val="001C77CD"/>
    <w:rsid w:val="001C794C"/>
    <w:rsid w:val="001D079D"/>
    <w:rsid w:val="001D083D"/>
    <w:rsid w:val="001D0B61"/>
    <w:rsid w:val="001D1007"/>
    <w:rsid w:val="001D1270"/>
    <w:rsid w:val="001D138C"/>
    <w:rsid w:val="001D15B8"/>
    <w:rsid w:val="001D19B5"/>
    <w:rsid w:val="001D1EA9"/>
    <w:rsid w:val="001D212A"/>
    <w:rsid w:val="001D23AF"/>
    <w:rsid w:val="001D258F"/>
    <w:rsid w:val="001D2B24"/>
    <w:rsid w:val="001D338D"/>
    <w:rsid w:val="001D34E8"/>
    <w:rsid w:val="001D34F7"/>
    <w:rsid w:val="001D369E"/>
    <w:rsid w:val="001D396C"/>
    <w:rsid w:val="001D3D70"/>
    <w:rsid w:val="001D3DCA"/>
    <w:rsid w:val="001D4608"/>
    <w:rsid w:val="001D4B89"/>
    <w:rsid w:val="001D4C2B"/>
    <w:rsid w:val="001D54AC"/>
    <w:rsid w:val="001D5918"/>
    <w:rsid w:val="001D6A6B"/>
    <w:rsid w:val="001D736F"/>
    <w:rsid w:val="001E0165"/>
    <w:rsid w:val="001E05BB"/>
    <w:rsid w:val="001E0944"/>
    <w:rsid w:val="001E1310"/>
    <w:rsid w:val="001E1579"/>
    <w:rsid w:val="001E1F49"/>
    <w:rsid w:val="001E20F1"/>
    <w:rsid w:val="001E2643"/>
    <w:rsid w:val="001E2683"/>
    <w:rsid w:val="001E2A0F"/>
    <w:rsid w:val="001E2B4A"/>
    <w:rsid w:val="001E2DA9"/>
    <w:rsid w:val="001E335B"/>
    <w:rsid w:val="001E38D3"/>
    <w:rsid w:val="001E3AF9"/>
    <w:rsid w:val="001E3C5E"/>
    <w:rsid w:val="001E44E1"/>
    <w:rsid w:val="001E49CF"/>
    <w:rsid w:val="001E5753"/>
    <w:rsid w:val="001E5814"/>
    <w:rsid w:val="001E5BA3"/>
    <w:rsid w:val="001E5E9A"/>
    <w:rsid w:val="001E6E32"/>
    <w:rsid w:val="001E71F8"/>
    <w:rsid w:val="001E7999"/>
    <w:rsid w:val="001F0A88"/>
    <w:rsid w:val="001F0B87"/>
    <w:rsid w:val="001F1D69"/>
    <w:rsid w:val="001F28BB"/>
    <w:rsid w:val="001F2A32"/>
    <w:rsid w:val="001F3299"/>
    <w:rsid w:val="001F34DC"/>
    <w:rsid w:val="001F3591"/>
    <w:rsid w:val="001F38D3"/>
    <w:rsid w:val="001F3B58"/>
    <w:rsid w:val="001F3C04"/>
    <w:rsid w:val="001F3DE5"/>
    <w:rsid w:val="001F4460"/>
    <w:rsid w:val="001F4AEE"/>
    <w:rsid w:val="001F4ECB"/>
    <w:rsid w:val="001F5374"/>
    <w:rsid w:val="001F5D74"/>
    <w:rsid w:val="001F5EA5"/>
    <w:rsid w:val="001F642E"/>
    <w:rsid w:val="001F6B4B"/>
    <w:rsid w:val="001F6FF1"/>
    <w:rsid w:val="001F7372"/>
    <w:rsid w:val="001F765A"/>
    <w:rsid w:val="001F7740"/>
    <w:rsid w:val="001F7835"/>
    <w:rsid w:val="001F7EB1"/>
    <w:rsid w:val="00200240"/>
    <w:rsid w:val="00200267"/>
    <w:rsid w:val="002005BA"/>
    <w:rsid w:val="00200708"/>
    <w:rsid w:val="0020140F"/>
    <w:rsid w:val="0020194F"/>
    <w:rsid w:val="00201A1D"/>
    <w:rsid w:val="00201B4A"/>
    <w:rsid w:val="00201C34"/>
    <w:rsid w:val="00202019"/>
    <w:rsid w:val="002025F7"/>
    <w:rsid w:val="002030A5"/>
    <w:rsid w:val="002034AF"/>
    <w:rsid w:val="002034C7"/>
    <w:rsid w:val="00203517"/>
    <w:rsid w:val="0020398C"/>
    <w:rsid w:val="00203C51"/>
    <w:rsid w:val="0020435A"/>
    <w:rsid w:val="00204CF3"/>
    <w:rsid w:val="00204CF4"/>
    <w:rsid w:val="00205308"/>
    <w:rsid w:val="002057A7"/>
    <w:rsid w:val="00205832"/>
    <w:rsid w:val="00206246"/>
    <w:rsid w:val="00206622"/>
    <w:rsid w:val="0020672A"/>
    <w:rsid w:val="00206EB0"/>
    <w:rsid w:val="0020708E"/>
    <w:rsid w:val="002073EA"/>
    <w:rsid w:val="0020750A"/>
    <w:rsid w:val="002075AA"/>
    <w:rsid w:val="0020789E"/>
    <w:rsid w:val="00207BFE"/>
    <w:rsid w:val="00210BF8"/>
    <w:rsid w:val="00211A94"/>
    <w:rsid w:val="00211AD6"/>
    <w:rsid w:val="002128C2"/>
    <w:rsid w:val="00212B9C"/>
    <w:rsid w:val="00212E11"/>
    <w:rsid w:val="002133BC"/>
    <w:rsid w:val="00213AA2"/>
    <w:rsid w:val="00213F67"/>
    <w:rsid w:val="00214992"/>
    <w:rsid w:val="00215356"/>
    <w:rsid w:val="0021542C"/>
    <w:rsid w:val="0021568D"/>
    <w:rsid w:val="0021577A"/>
    <w:rsid w:val="0021585E"/>
    <w:rsid w:val="00216589"/>
    <w:rsid w:val="0021711E"/>
    <w:rsid w:val="0021722A"/>
    <w:rsid w:val="00217E01"/>
    <w:rsid w:val="00217EB2"/>
    <w:rsid w:val="00220C30"/>
    <w:rsid w:val="00220D93"/>
    <w:rsid w:val="00220F27"/>
    <w:rsid w:val="00221E73"/>
    <w:rsid w:val="0022214C"/>
    <w:rsid w:val="00222376"/>
    <w:rsid w:val="00222D9F"/>
    <w:rsid w:val="00222E8B"/>
    <w:rsid w:val="00223046"/>
    <w:rsid w:val="00223116"/>
    <w:rsid w:val="00223482"/>
    <w:rsid w:val="002245A0"/>
    <w:rsid w:val="00224F1A"/>
    <w:rsid w:val="0022540F"/>
    <w:rsid w:val="00225B6C"/>
    <w:rsid w:val="002261DC"/>
    <w:rsid w:val="002270A4"/>
    <w:rsid w:val="002275C8"/>
    <w:rsid w:val="00227FFD"/>
    <w:rsid w:val="002303B2"/>
    <w:rsid w:val="00230D28"/>
    <w:rsid w:val="00230EA5"/>
    <w:rsid w:val="002312D0"/>
    <w:rsid w:val="00231482"/>
    <w:rsid w:val="00231C6F"/>
    <w:rsid w:val="00232342"/>
    <w:rsid w:val="00232443"/>
    <w:rsid w:val="002326C1"/>
    <w:rsid w:val="00232779"/>
    <w:rsid w:val="002327F8"/>
    <w:rsid w:val="00232846"/>
    <w:rsid w:val="00233C87"/>
    <w:rsid w:val="00233D9A"/>
    <w:rsid w:val="0023423C"/>
    <w:rsid w:val="002342CB"/>
    <w:rsid w:val="0023438E"/>
    <w:rsid w:val="0023443E"/>
    <w:rsid w:val="00234DAD"/>
    <w:rsid w:val="00235257"/>
    <w:rsid w:val="002355AD"/>
    <w:rsid w:val="0023618A"/>
    <w:rsid w:val="002367D2"/>
    <w:rsid w:val="002372A7"/>
    <w:rsid w:val="00237674"/>
    <w:rsid w:val="00237C89"/>
    <w:rsid w:val="00240053"/>
    <w:rsid w:val="00240335"/>
    <w:rsid w:val="002406A1"/>
    <w:rsid w:val="00240804"/>
    <w:rsid w:val="00240B9F"/>
    <w:rsid w:val="002413E9"/>
    <w:rsid w:val="0024186C"/>
    <w:rsid w:val="00241C53"/>
    <w:rsid w:val="002424FD"/>
    <w:rsid w:val="002426C9"/>
    <w:rsid w:val="002435A5"/>
    <w:rsid w:val="00244F40"/>
    <w:rsid w:val="002450FE"/>
    <w:rsid w:val="002456A7"/>
    <w:rsid w:val="002456B1"/>
    <w:rsid w:val="002456D5"/>
    <w:rsid w:val="00246085"/>
    <w:rsid w:val="00246EED"/>
    <w:rsid w:val="0024755A"/>
    <w:rsid w:val="00247837"/>
    <w:rsid w:val="00247C2A"/>
    <w:rsid w:val="00247F77"/>
    <w:rsid w:val="002501BD"/>
    <w:rsid w:val="00250795"/>
    <w:rsid w:val="00250AC9"/>
    <w:rsid w:val="00250CC5"/>
    <w:rsid w:val="00251442"/>
    <w:rsid w:val="0025221E"/>
    <w:rsid w:val="002527E2"/>
    <w:rsid w:val="002528A9"/>
    <w:rsid w:val="00252B54"/>
    <w:rsid w:val="00252C0E"/>
    <w:rsid w:val="00252C93"/>
    <w:rsid w:val="002533E8"/>
    <w:rsid w:val="002538CC"/>
    <w:rsid w:val="00253A4F"/>
    <w:rsid w:val="002540DF"/>
    <w:rsid w:val="00254392"/>
    <w:rsid w:val="002545BE"/>
    <w:rsid w:val="00254BCE"/>
    <w:rsid w:val="00254E0D"/>
    <w:rsid w:val="00254E77"/>
    <w:rsid w:val="00255AED"/>
    <w:rsid w:val="00255CAF"/>
    <w:rsid w:val="00255E07"/>
    <w:rsid w:val="00255E2D"/>
    <w:rsid w:val="00256263"/>
    <w:rsid w:val="00256E2C"/>
    <w:rsid w:val="002571BA"/>
    <w:rsid w:val="002608DF"/>
    <w:rsid w:val="002612B9"/>
    <w:rsid w:val="002612E9"/>
    <w:rsid w:val="00261AEF"/>
    <w:rsid w:val="00261FF6"/>
    <w:rsid w:val="0026317A"/>
    <w:rsid w:val="002635B9"/>
    <w:rsid w:val="002637A8"/>
    <w:rsid w:val="00264A21"/>
    <w:rsid w:val="002656D5"/>
    <w:rsid w:val="00265FE0"/>
    <w:rsid w:val="002666A1"/>
    <w:rsid w:val="002670E6"/>
    <w:rsid w:val="0026781D"/>
    <w:rsid w:val="00267B2C"/>
    <w:rsid w:val="00270344"/>
    <w:rsid w:val="00270414"/>
    <w:rsid w:val="00271CE6"/>
    <w:rsid w:val="002727CE"/>
    <w:rsid w:val="00272841"/>
    <w:rsid w:val="00273397"/>
    <w:rsid w:val="0027380F"/>
    <w:rsid w:val="002739E6"/>
    <w:rsid w:val="00273BB7"/>
    <w:rsid w:val="00273F71"/>
    <w:rsid w:val="00274565"/>
    <w:rsid w:val="00274573"/>
    <w:rsid w:val="00274BC2"/>
    <w:rsid w:val="00274E86"/>
    <w:rsid w:val="00275174"/>
    <w:rsid w:val="00275323"/>
    <w:rsid w:val="00275A4B"/>
    <w:rsid w:val="00276651"/>
    <w:rsid w:val="002767D2"/>
    <w:rsid w:val="00276C0C"/>
    <w:rsid w:val="002801B4"/>
    <w:rsid w:val="002813D2"/>
    <w:rsid w:val="0028156C"/>
    <w:rsid w:val="00281D32"/>
    <w:rsid w:val="00281D9E"/>
    <w:rsid w:val="00281E8F"/>
    <w:rsid w:val="00282261"/>
    <w:rsid w:val="00282C83"/>
    <w:rsid w:val="00282CB1"/>
    <w:rsid w:val="0028420B"/>
    <w:rsid w:val="00284314"/>
    <w:rsid w:val="00284447"/>
    <w:rsid w:val="00284A8E"/>
    <w:rsid w:val="00285043"/>
    <w:rsid w:val="002853D4"/>
    <w:rsid w:val="002854E6"/>
    <w:rsid w:val="00285D66"/>
    <w:rsid w:val="00286468"/>
    <w:rsid w:val="0028672C"/>
    <w:rsid w:val="00286832"/>
    <w:rsid w:val="002868EC"/>
    <w:rsid w:val="00286C8D"/>
    <w:rsid w:val="00286E85"/>
    <w:rsid w:val="00287457"/>
    <w:rsid w:val="00287C16"/>
    <w:rsid w:val="00290164"/>
    <w:rsid w:val="002907EB"/>
    <w:rsid w:val="00290BA4"/>
    <w:rsid w:val="002921D1"/>
    <w:rsid w:val="00292AC4"/>
    <w:rsid w:val="00292DFE"/>
    <w:rsid w:val="002932E1"/>
    <w:rsid w:val="00293842"/>
    <w:rsid w:val="0029480C"/>
    <w:rsid w:val="00294904"/>
    <w:rsid w:val="00294CE1"/>
    <w:rsid w:val="00294FE1"/>
    <w:rsid w:val="002951FB"/>
    <w:rsid w:val="0029565F"/>
    <w:rsid w:val="00296380"/>
    <w:rsid w:val="00296787"/>
    <w:rsid w:val="00296851"/>
    <w:rsid w:val="00296B54"/>
    <w:rsid w:val="00296BAD"/>
    <w:rsid w:val="00296BC1"/>
    <w:rsid w:val="00296CB1"/>
    <w:rsid w:val="002A00D6"/>
    <w:rsid w:val="002A01B7"/>
    <w:rsid w:val="002A052B"/>
    <w:rsid w:val="002A06E5"/>
    <w:rsid w:val="002A08B4"/>
    <w:rsid w:val="002A0B85"/>
    <w:rsid w:val="002A12C9"/>
    <w:rsid w:val="002A1495"/>
    <w:rsid w:val="002A1749"/>
    <w:rsid w:val="002A1967"/>
    <w:rsid w:val="002A1A4F"/>
    <w:rsid w:val="002A1D91"/>
    <w:rsid w:val="002A1EF6"/>
    <w:rsid w:val="002A2648"/>
    <w:rsid w:val="002A287D"/>
    <w:rsid w:val="002A2AD1"/>
    <w:rsid w:val="002A3474"/>
    <w:rsid w:val="002A4547"/>
    <w:rsid w:val="002A4595"/>
    <w:rsid w:val="002A45B9"/>
    <w:rsid w:val="002A4DA6"/>
    <w:rsid w:val="002A52E6"/>
    <w:rsid w:val="002A542B"/>
    <w:rsid w:val="002A66C4"/>
    <w:rsid w:val="002A6ACE"/>
    <w:rsid w:val="002A6E0F"/>
    <w:rsid w:val="002A7585"/>
    <w:rsid w:val="002A7739"/>
    <w:rsid w:val="002B038B"/>
    <w:rsid w:val="002B0A56"/>
    <w:rsid w:val="002B0F30"/>
    <w:rsid w:val="002B1096"/>
    <w:rsid w:val="002B1EBD"/>
    <w:rsid w:val="002B33CF"/>
    <w:rsid w:val="002B4652"/>
    <w:rsid w:val="002B48AE"/>
    <w:rsid w:val="002B493A"/>
    <w:rsid w:val="002B579E"/>
    <w:rsid w:val="002B592D"/>
    <w:rsid w:val="002B5A75"/>
    <w:rsid w:val="002B5C59"/>
    <w:rsid w:val="002B5DCA"/>
    <w:rsid w:val="002B604F"/>
    <w:rsid w:val="002B64C2"/>
    <w:rsid w:val="002B6517"/>
    <w:rsid w:val="002B6C72"/>
    <w:rsid w:val="002B70E8"/>
    <w:rsid w:val="002B7500"/>
    <w:rsid w:val="002B7720"/>
    <w:rsid w:val="002B7C8C"/>
    <w:rsid w:val="002C0468"/>
    <w:rsid w:val="002C14DA"/>
    <w:rsid w:val="002C181C"/>
    <w:rsid w:val="002C1986"/>
    <w:rsid w:val="002C1BEF"/>
    <w:rsid w:val="002C1C62"/>
    <w:rsid w:val="002C1D02"/>
    <w:rsid w:val="002C2AE2"/>
    <w:rsid w:val="002C3689"/>
    <w:rsid w:val="002C3C5E"/>
    <w:rsid w:val="002C49B6"/>
    <w:rsid w:val="002C510D"/>
    <w:rsid w:val="002C5187"/>
    <w:rsid w:val="002C590F"/>
    <w:rsid w:val="002C5CCE"/>
    <w:rsid w:val="002C68C7"/>
    <w:rsid w:val="002C6E11"/>
    <w:rsid w:val="002C6EAA"/>
    <w:rsid w:val="002C7516"/>
    <w:rsid w:val="002C783B"/>
    <w:rsid w:val="002D0687"/>
    <w:rsid w:val="002D0BC3"/>
    <w:rsid w:val="002D0EC2"/>
    <w:rsid w:val="002D1D21"/>
    <w:rsid w:val="002D1F4A"/>
    <w:rsid w:val="002D2769"/>
    <w:rsid w:val="002D2A2D"/>
    <w:rsid w:val="002D37FA"/>
    <w:rsid w:val="002D39B7"/>
    <w:rsid w:val="002D3C9B"/>
    <w:rsid w:val="002D45C3"/>
    <w:rsid w:val="002D4798"/>
    <w:rsid w:val="002D5161"/>
    <w:rsid w:val="002D5B95"/>
    <w:rsid w:val="002D6692"/>
    <w:rsid w:val="002D6EBF"/>
    <w:rsid w:val="002D7496"/>
    <w:rsid w:val="002D7671"/>
    <w:rsid w:val="002D7681"/>
    <w:rsid w:val="002D784C"/>
    <w:rsid w:val="002E0417"/>
    <w:rsid w:val="002E1CCD"/>
    <w:rsid w:val="002E1F22"/>
    <w:rsid w:val="002E2486"/>
    <w:rsid w:val="002E275A"/>
    <w:rsid w:val="002E2D44"/>
    <w:rsid w:val="002E3013"/>
    <w:rsid w:val="002E3521"/>
    <w:rsid w:val="002E3C0C"/>
    <w:rsid w:val="002E4531"/>
    <w:rsid w:val="002E46D6"/>
    <w:rsid w:val="002E5016"/>
    <w:rsid w:val="002E538A"/>
    <w:rsid w:val="002E5E12"/>
    <w:rsid w:val="002E68D5"/>
    <w:rsid w:val="002E69D6"/>
    <w:rsid w:val="002E6DEE"/>
    <w:rsid w:val="002E7468"/>
    <w:rsid w:val="002E75DF"/>
    <w:rsid w:val="002E7695"/>
    <w:rsid w:val="002E790E"/>
    <w:rsid w:val="002E7E78"/>
    <w:rsid w:val="002F0917"/>
    <w:rsid w:val="002F0AC6"/>
    <w:rsid w:val="002F153B"/>
    <w:rsid w:val="002F198D"/>
    <w:rsid w:val="002F2119"/>
    <w:rsid w:val="002F2856"/>
    <w:rsid w:val="002F2C5F"/>
    <w:rsid w:val="002F2E04"/>
    <w:rsid w:val="002F3565"/>
    <w:rsid w:val="002F365C"/>
    <w:rsid w:val="002F3784"/>
    <w:rsid w:val="002F3939"/>
    <w:rsid w:val="002F3E2D"/>
    <w:rsid w:val="002F40BC"/>
    <w:rsid w:val="002F5A96"/>
    <w:rsid w:val="002F7F18"/>
    <w:rsid w:val="00300369"/>
    <w:rsid w:val="00300528"/>
    <w:rsid w:val="00300F9C"/>
    <w:rsid w:val="00301735"/>
    <w:rsid w:val="0030246B"/>
    <w:rsid w:val="0030262A"/>
    <w:rsid w:val="00302848"/>
    <w:rsid w:val="00302B2F"/>
    <w:rsid w:val="00302C74"/>
    <w:rsid w:val="00303255"/>
    <w:rsid w:val="00303958"/>
    <w:rsid w:val="00303B85"/>
    <w:rsid w:val="00303CE7"/>
    <w:rsid w:val="0030423B"/>
    <w:rsid w:val="00304373"/>
    <w:rsid w:val="0030464C"/>
    <w:rsid w:val="00304DFD"/>
    <w:rsid w:val="0030563F"/>
    <w:rsid w:val="003057C6"/>
    <w:rsid w:val="0030591E"/>
    <w:rsid w:val="00305D5B"/>
    <w:rsid w:val="003061C7"/>
    <w:rsid w:val="0030629C"/>
    <w:rsid w:val="00307655"/>
    <w:rsid w:val="00307822"/>
    <w:rsid w:val="003078CB"/>
    <w:rsid w:val="00307C27"/>
    <w:rsid w:val="00310340"/>
    <w:rsid w:val="003107F8"/>
    <w:rsid w:val="00311676"/>
    <w:rsid w:val="0031190E"/>
    <w:rsid w:val="00312445"/>
    <w:rsid w:val="0031244D"/>
    <w:rsid w:val="003129C2"/>
    <w:rsid w:val="00312B28"/>
    <w:rsid w:val="00313319"/>
    <w:rsid w:val="003134E9"/>
    <w:rsid w:val="0031370F"/>
    <w:rsid w:val="00314682"/>
    <w:rsid w:val="00314A35"/>
    <w:rsid w:val="00315229"/>
    <w:rsid w:val="00315462"/>
    <w:rsid w:val="00315A67"/>
    <w:rsid w:val="00315F67"/>
    <w:rsid w:val="003172E3"/>
    <w:rsid w:val="00317B21"/>
    <w:rsid w:val="00317CC1"/>
    <w:rsid w:val="00317CF8"/>
    <w:rsid w:val="00320AE1"/>
    <w:rsid w:val="00321078"/>
    <w:rsid w:val="00321B5E"/>
    <w:rsid w:val="00322652"/>
    <w:rsid w:val="00322897"/>
    <w:rsid w:val="00322C19"/>
    <w:rsid w:val="00323385"/>
    <w:rsid w:val="00323828"/>
    <w:rsid w:val="0032439E"/>
    <w:rsid w:val="00324C2E"/>
    <w:rsid w:val="00325142"/>
    <w:rsid w:val="0032557C"/>
    <w:rsid w:val="0032579E"/>
    <w:rsid w:val="003257C2"/>
    <w:rsid w:val="00326013"/>
    <w:rsid w:val="0032608C"/>
    <w:rsid w:val="003267E1"/>
    <w:rsid w:val="003269F5"/>
    <w:rsid w:val="00326A1E"/>
    <w:rsid w:val="00326FAA"/>
    <w:rsid w:val="00330B61"/>
    <w:rsid w:val="00331264"/>
    <w:rsid w:val="00331669"/>
    <w:rsid w:val="003318EB"/>
    <w:rsid w:val="00332071"/>
    <w:rsid w:val="00332697"/>
    <w:rsid w:val="00332D06"/>
    <w:rsid w:val="00333016"/>
    <w:rsid w:val="003330DC"/>
    <w:rsid w:val="00333D7D"/>
    <w:rsid w:val="003358FA"/>
    <w:rsid w:val="00335AA5"/>
    <w:rsid w:val="00336150"/>
    <w:rsid w:val="00336351"/>
    <w:rsid w:val="00336C4A"/>
    <w:rsid w:val="00337655"/>
    <w:rsid w:val="00337893"/>
    <w:rsid w:val="0033797E"/>
    <w:rsid w:val="00340585"/>
    <w:rsid w:val="003406BF"/>
    <w:rsid w:val="003410ED"/>
    <w:rsid w:val="00341546"/>
    <w:rsid w:val="00342C32"/>
    <w:rsid w:val="003436DE"/>
    <w:rsid w:val="003438CC"/>
    <w:rsid w:val="003439FE"/>
    <w:rsid w:val="00343D99"/>
    <w:rsid w:val="00344220"/>
    <w:rsid w:val="0034538A"/>
    <w:rsid w:val="003455E5"/>
    <w:rsid w:val="00345831"/>
    <w:rsid w:val="00345B64"/>
    <w:rsid w:val="0034647B"/>
    <w:rsid w:val="00346D42"/>
    <w:rsid w:val="00346EDE"/>
    <w:rsid w:val="00346FC1"/>
    <w:rsid w:val="00347926"/>
    <w:rsid w:val="00347B1E"/>
    <w:rsid w:val="00347CEF"/>
    <w:rsid w:val="00347DB4"/>
    <w:rsid w:val="003501D6"/>
    <w:rsid w:val="0035026D"/>
    <w:rsid w:val="00351071"/>
    <w:rsid w:val="00351314"/>
    <w:rsid w:val="0035245B"/>
    <w:rsid w:val="00352852"/>
    <w:rsid w:val="00352DDB"/>
    <w:rsid w:val="003533BE"/>
    <w:rsid w:val="0035384F"/>
    <w:rsid w:val="00353861"/>
    <w:rsid w:val="00353CFD"/>
    <w:rsid w:val="00354D99"/>
    <w:rsid w:val="003553E7"/>
    <w:rsid w:val="003556F5"/>
    <w:rsid w:val="0035572C"/>
    <w:rsid w:val="00355898"/>
    <w:rsid w:val="00355AEF"/>
    <w:rsid w:val="00356883"/>
    <w:rsid w:val="00356AEE"/>
    <w:rsid w:val="00356B8D"/>
    <w:rsid w:val="00356DE1"/>
    <w:rsid w:val="003578C8"/>
    <w:rsid w:val="00357DF3"/>
    <w:rsid w:val="00357F17"/>
    <w:rsid w:val="0036002F"/>
    <w:rsid w:val="003607EA"/>
    <w:rsid w:val="00360A2A"/>
    <w:rsid w:val="00360B0A"/>
    <w:rsid w:val="0036121D"/>
    <w:rsid w:val="003617C3"/>
    <w:rsid w:val="00362F3E"/>
    <w:rsid w:val="00363559"/>
    <w:rsid w:val="003642F2"/>
    <w:rsid w:val="003656B9"/>
    <w:rsid w:val="003657F2"/>
    <w:rsid w:val="00365B2F"/>
    <w:rsid w:val="00365C84"/>
    <w:rsid w:val="00365C98"/>
    <w:rsid w:val="00366E4C"/>
    <w:rsid w:val="00366ED1"/>
    <w:rsid w:val="00366FB2"/>
    <w:rsid w:val="0036748D"/>
    <w:rsid w:val="00370896"/>
    <w:rsid w:val="00370C63"/>
    <w:rsid w:val="003711E1"/>
    <w:rsid w:val="0037153A"/>
    <w:rsid w:val="00371E95"/>
    <w:rsid w:val="00372137"/>
    <w:rsid w:val="003728A6"/>
    <w:rsid w:val="003729E5"/>
    <w:rsid w:val="003729F8"/>
    <w:rsid w:val="00372BDA"/>
    <w:rsid w:val="00372C05"/>
    <w:rsid w:val="0037303C"/>
    <w:rsid w:val="00373646"/>
    <w:rsid w:val="00374315"/>
    <w:rsid w:val="00375295"/>
    <w:rsid w:val="0037558E"/>
    <w:rsid w:val="00375787"/>
    <w:rsid w:val="003759F2"/>
    <w:rsid w:val="00376499"/>
    <w:rsid w:val="00376595"/>
    <w:rsid w:val="0037673D"/>
    <w:rsid w:val="00376C56"/>
    <w:rsid w:val="00376C87"/>
    <w:rsid w:val="00376CD3"/>
    <w:rsid w:val="00376F30"/>
    <w:rsid w:val="003776BB"/>
    <w:rsid w:val="00377705"/>
    <w:rsid w:val="00380C77"/>
    <w:rsid w:val="0038157E"/>
    <w:rsid w:val="00381ED7"/>
    <w:rsid w:val="00381F95"/>
    <w:rsid w:val="00382553"/>
    <w:rsid w:val="003826A3"/>
    <w:rsid w:val="003828F1"/>
    <w:rsid w:val="00383C47"/>
    <w:rsid w:val="0038402E"/>
    <w:rsid w:val="00384CDC"/>
    <w:rsid w:val="0038506A"/>
    <w:rsid w:val="003850EE"/>
    <w:rsid w:val="003857A0"/>
    <w:rsid w:val="0038654E"/>
    <w:rsid w:val="00386957"/>
    <w:rsid w:val="0038730B"/>
    <w:rsid w:val="00387EE4"/>
    <w:rsid w:val="0039024B"/>
    <w:rsid w:val="00390806"/>
    <w:rsid w:val="00390C65"/>
    <w:rsid w:val="00391241"/>
    <w:rsid w:val="0039137B"/>
    <w:rsid w:val="003918AB"/>
    <w:rsid w:val="00391955"/>
    <w:rsid w:val="00391F54"/>
    <w:rsid w:val="00392041"/>
    <w:rsid w:val="00392467"/>
    <w:rsid w:val="003924B8"/>
    <w:rsid w:val="00392738"/>
    <w:rsid w:val="00392749"/>
    <w:rsid w:val="00392C6E"/>
    <w:rsid w:val="0039303D"/>
    <w:rsid w:val="00393EC4"/>
    <w:rsid w:val="00394E48"/>
    <w:rsid w:val="003950E5"/>
    <w:rsid w:val="00395542"/>
    <w:rsid w:val="003955F6"/>
    <w:rsid w:val="0039568D"/>
    <w:rsid w:val="003956C4"/>
    <w:rsid w:val="003966B0"/>
    <w:rsid w:val="00396B3E"/>
    <w:rsid w:val="0039711F"/>
    <w:rsid w:val="003974B4"/>
    <w:rsid w:val="00397B0E"/>
    <w:rsid w:val="003A06F6"/>
    <w:rsid w:val="003A0C23"/>
    <w:rsid w:val="003A0C59"/>
    <w:rsid w:val="003A1388"/>
    <w:rsid w:val="003A167F"/>
    <w:rsid w:val="003A2625"/>
    <w:rsid w:val="003A32A8"/>
    <w:rsid w:val="003A33D6"/>
    <w:rsid w:val="003A377E"/>
    <w:rsid w:val="003A3889"/>
    <w:rsid w:val="003A3D7A"/>
    <w:rsid w:val="003A47DD"/>
    <w:rsid w:val="003A54C0"/>
    <w:rsid w:val="003A5602"/>
    <w:rsid w:val="003A5CF4"/>
    <w:rsid w:val="003A6869"/>
    <w:rsid w:val="003A6E2D"/>
    <w:rsid w:val="003A773D"/>
    <w:rsid w:val="003A7853"/>
    <w:rsid w:val="003A7AC9"/>
    <w:rsid w:val="003B04F2"/>
    <w:rsid w:val="003B1635"/>
    <w:rsid w:val="003B1797"/>
    <w:rsid w:val="003B3148"/>
    <w:rsid w:val="003B40A6"/>
    <w:rsid w:val="003B4167"/>
    <w:rsid w:val="003B43C6"/>
    <w:rsid w:val="003B45C7"/>
    <w:rsid w:val="003B494D"/>
    <w:rsid w:val="003B55FE"/>
    <w:rsid w:val="003B5D51"/>
    <w:rsid w:val="003B5E47"/>
    <w:rsid w:val="003B6F6F"/>
    <w:rsid w:val="003B72D1"/>
    <w:rsid w:val="003B75E4"/>
    <w:rsid w:val="003B7698"/>
    <w:rsid w:val="003C000C"/>
    <w:rsid w:val="003C0282"/>
    <w:rsid w:val="003C0B88"/>
    <w:rsid w:val="003C210C"/>
    <w:rsid w:val="003C29F9"/>
    <w:rsid w:val="003C2E94"/>
    <w:rsid w:val="003C3A5A"/>
    <w:rsid w:val="003C3E37"/>
    <w:rsid w:val="003C3E38"/>
    <w:rsid w:val="003C4457"/>
    <w:rsid w:val="003C451A"/>
    <w:rsid w:val="003C45EC"/>
    <w:rsid w:val="003C4CE4"/>
    <w:rsid w:val="003C552A"/>
    <w:rsid w:val="003C56E6"/>
    <w:rsid w:val="003C595A"/>
    <w:rsid w:val="003C658F"/>
    <w:rsid w:val="003C6F72"/>
    <w:rsid w:val="003C75E7"/>
    <w:rsid w:val="003C77B8"/>
    <w:rsid w:val="003C7986"/>
    <w:rsid w:val="003C7C72"/>
    <w:rsid w:val="003D1497"/>
    <w:rsid w:val="003D1D35"/>
    <w:rsid w:val="003D1F60"/>
    <w:rsid w:val="003D21F6"/>
    <w:rsid w:val="003D2891"/>
    <w:rsid w:val="003D36B2"/>
    <w:rsid w:val="003D40CC"/>
    <w:rsid w:val="003D52A0"/>
    <w:rsid w:val="003D56C1"/>
    <w:rsid w:val="003D5D41"/>
    <w:rsid w:val="003D6142"/>
    <w:rsid w:val="003D6AE8"/>
    <w:rsid w:val="003D71E1"/>
    <w:rsid w:val="003D724F"/>
    <w:rsid w:val="003D79DD"/>
    <w:rsid w:val="003D7DCD"/>
    <w:rsid w:val="003E0B92"/>
    <w:rsid w:val="003E1420"/>
    <w:rsid w:val="003E1596"/>
    <w:rsid w:val="003E1753"/>
    <w:rsid w:val="003E1A03"/>
    <w:rsid w:val="003E28C3"/>
    <w:rsid w:val="003E390E"/>
    <w:rsid w:val="003E3E62"/>
    <w:rsid w:val="003E4344"/>
    <w:rsid w:val="003E46FB"/>
    <w:rsid w:val="003E470A"/>
    <w:rsid w:val="003E4C75"/>
    <w:rsid w:val="003E511E"/>
    <w:rsid w:val="003E58B5"/>
    <w:rsid w:val="003E59E1"/>
    <w:rsid w:val="003E5BD1"/>
    <w:rsid w:val="003E62DC"/>
    <w:rsid w:val="003E69DF"/>
    <w:rsid w:val="003E72F1"/>
    <w:rsid w:val="003F0034"/>
    <w:rsid w:val="003F1885"/>
    <w:rsid w:val="003F1C9E"/>
    <w:rsid w:val="003F1E60"/>
    <w:rsid w:val="003F2237"/>
    <w:rsid w:val="003F2BD6"/>
    <w:rsid w:val="003F2C69"/>
    <w:rsid w:val="003F3403"/>
    <w:rsid w:val="003F44B5"/>
    <w:rsid w:val="003F4716"/>
    <w:rsid w:val="003F4AED"/>
    <w:rsid w:val="003F4AEF"/>
    <w:rsid w:val="003F52C3"/>
    <w:rsid w:val="003F5A14"/>
    <w:rsid w:val="003F688C"/>
    <w:rsid w:val="003F7193"/>
    <w:rsid w:val="003F736B"/>
    <w:rsid w:val="003F740C"/>
    <w:rsid w:val="0040033A"/>
    <w:rsid w:val="00400867"/>
    <w:rsid w:val="00400C70"/>
    <w:rsid w:val="00400C82"/>
    <w:rsid w:val="004011DF"/>
    <w:rsid w:val="00401B5F"/>
    <w:rsid w:val="00401FC5"/>
    <w:rsid w:val="00402948"/>
    <w:rsid w:val="00402E06"/>
    <w:rsid w:val="00403DBA"/>
    <w:rsid w:val="00403F94"/>
    <w:rsid w:val="00405B89"/>
    <w:rsid w:val="00406213"/>
    <w:rsid w:val="004074E5"/>
    <w:rsid w:val="00407565"/>
    <w:rsid w:val="00407B40"/>
    <w:rsid w:val="00410A0E"/>
    <w:rsid w:val="00410E1D"/>
    <w:rsid w:val="00410EE7"/>
    <w:rsid w:val="00410FC0"/>
    <w:rsid w:val="004112E8"/>
    <w:rsid w:val="00411DA0"/>
    <w:rsid w:val="00411EC2"/>
    <w:rsid w:val="00412790"/>
    <w:rsid w:val="00412986"/>
    <w:rsid w:val="00412FA9"/>
    <w:rsid w:val="0041363C"/>
    <w:rsid w:val="004153C9"/>
    <w:rsid w:val="00416031"/>
    <w:rsid w:val="00416201"/>
    <w:rsid w:val="00416932"/>
    <w:rsid w:val="00416E52"/>
    <w:rsid w:val="0041746F"/>
    <w:rsid w:val="00417638"/>
    <w:rsid w:val="00417B84"/>
    <w:rsid w:val="00420D01"/>
    <w:rsid w:val="00420EBB"/>
    <w:rsid w:val="00421AFC"/>
    <w:rsid w:val="00421B72"/>
    <w:rsid w:val="004221AD"/>
    <w:rsid w:val="00422336"/>
    <w:rsid w:val="00422526"/>
    <w:rsid w:val="00422883"/>
    <w:rsid w:val="00422A8F"/>
    <w:rsid w:val="00422B68"/>
    <w:rsid w:val="00422C43"/>
    <w:rsid w:val="00422DEC"/>
    <w:rsid w:val="00423879"/>
    <w:rsid w:val="00423DA5"/>
    <w:rsid w:val="00423E93"/>
    <w:rsid w:val="00424DB1"/>
    <w:rsid w:val="00424E25"/>
    <w:rsid w:val="00425118"/>
    <w:rsid w:val="0042573D"/>
    <w:rsid w:val="00425933"/>
    <w:rsid w:val="00425DF3"/>
    <w:rsid w:val="004266A8"/>
    <w:rsid w:val="00426885"/>
    <w:rsid w:val="00426B86"/>
    <w:rsid w:val="00426C78"/>
    <w:rsid w:val="004270E7"/>
    <w:rsid w:val="00427627"/>
    <w:rsid w:val="0042763A"/>
    <w:rsid w:val="004277B4"/>
    <w:rsid w:val="0042789D"/>
    <w:rsid w:val="0043032B"/>
    <w:rsid w:val="004303DD"/>
    <w:rsid w:val="004304A4"/>
    <w:rsid w:val="00430CA3"/>
    <w:rsid w:val="00431058"/>
    <w:rsid w:val="00431591"/>
    <w:rsid w:val="004318B6"/>
    <w:rsid w:val="00431903"/>
    <w:rsid w:val="00431F5F"/>
    <w:rsid w:val="00431F8F"/>
    <w:rsid w:val="00432C91"/>
    <w:rsid w:val="004333CF"/>
    <w:rsid w:val="00433ADF"/>
    <w:rsid w:val="00434013"/>
    <w:rsid w:val="004340B8"/>
    <w:rsid w:val="00434712"/>
    <w:rsid w:val="00434799"/>
    <w:rsid w:val="0043515C"/>
    <w:rsid w:val="00435309"/>
    <w:rsid w:val="00435913"/>
    <w:rsid w:val="00435C97"/>
    <w:rsid w:val="00436826"/>
    <w:rsid w:val="00436B8F"/>
    <w:rsid w:val="0043791E"/>
    <w:rsid w:val="00437AF4"/>
    <w:rsid w:val="004407A2"/>
    <w:rsid w:val="00440D83"/>
    <w:rsid w:val="00440E77"/>
    <w:rsid w:val="00441200"/>
    <w:rsid w:val="00441270"/>
    <w:rsid w:val="004414FB"/>
    <w:rsid w:val="00441709"/>
    <w:rsid w:val="00441CF0"/>
    <w:rsid w:val="00441FC7"/>
    <w:rsid w:val="0044227A"/>
    <w:rsid w:val="004422F9"/>
    <w:rsid w:val="0044231C"/>
    <w:rsid w:val="004423C4"/>
    <w:rsid w:val="00442AF6"/>
    <w:rsid w:val="004435EC"/>
    <w:rsid w:val="004436BB"/>
    <w:rsid w:val="00443747"/>
    <w:rsid w:val="004448BA"/>
    <w:rsid w:val="00444DE8"/>
    <w:rsid w:val="00445593"/>
    <w:rsid w:val="0044559F"/>
    <w:rsid w:val="0044601A"/>
    <w:rsid w:val="00446139"/>
    <w:rsid w:val="004461ED"/>
    <w:rsid w:val="0044643B"/>
    <w:rsid w:val="004472C4"/>
    <w:rsid w:val="0044793C"/>
    <w:rsid w:val="00447E2A"/>
    <w:rsid w:val="00450349"/>
    <w:rsid w:val="004504CF"/>
    <w:rsid w:val="00450520"/>
    <w:rsid w:val="004505C2"/>
    <w:rsid w:val="00450FDB"/>
    <w:rsid w:val="00451A29"/>
    <w:rsid w:val="00451B67"/>
    <w:rsid w:val="00452C12"/>
    <w:rsid w:val="00452C64"/>
    <w:rsid w:val="00453300"/>
    <w:rsid w:val="00453488"/>
    <w:rsid w:val="004539BB"/>
    <w:rsid w:val="00453A51"/>
    <w:rsid w:val="00453BA5"/>
    <w:rsid w:val="00453F40"/>
    <w:rsid w:val="00454993"/>
    <w:rsid w:val="00454F18"/>
    <w:rsid w:val="00456C34"/>
    <w:rsid w:val="00456E5E"/>
    <w:rsid w:val="00456FB5"/>
    <w:rsid w:val="004578D7"/>
    <w:rsid w:val="004600F9"/>
    <w:rsid w:val="00460936"/>
    <w:rsid w:val="00462EB6"/>
    <w:rsid w:val="004630EB"/>
    <w:rsid w:val="0046326E"/>
    <w:rsid w:val="00463E25"/>
    <w:rsid w:val="0046421D"/>
    <w:rsid w:val="00465418"/>
    <w:rsid w:val="0046553F"/>
    <w:rsid w:val="004667E1"/>
    <w:rsid w:val="004667FA"/>
    <w:rsid w:val="00466D4E"/>
    <w:rsid w:val="00466FC8"/>
    <w:rsid w:val="004673A3"/>
    <w:rsid w:val="004675E5"/>
    <w:rsid w:val="0046766C"/>
    <w:rsid w:val="00467690"/>
    <w:rsid w:val="004679C7"/>
    <w:rsid w:val="00467C92"/>
    <w:rsid w:val="00467F7F"/>
    <w:rsid w:val="0047042E"/>
    <w:rsid w:val="00470811"/>
    <w:rsid w:val="004708FC"/>
    <w:rsid w:val="00471180"/>
    <w:rsid w:val="00471936"/>
    <w:rsid w:val="004726B0"/>
    <w:rsid w:val="00473097"/>
    <w:rsid w:val="00473338"/>
    <w:rsid w:val="004733FD"/>
    <w:rsid w:val="00473A12"/>
    <w:rsid w:val="00473B95"/>
    <w:rsid w:val="00474293"/>
    <w:rsid w:val="00474D57"/>
    <w:rsid w:val="004751FA"/>
    <w:rsid w:val="00475890"/>
    <w:rsid w:val="00476567"/>
    <w:rsid w:val="00476681"/>
    <w:rsid w:val="00477AB7"/>
    <w:rsid w:val="004806C4"/>
    <w:rsid w:val="00480F13"/>
    <w:rsid w:val="004812D2"/>
    <w:rsid w:val="0048170B"/>
    <w:rsid w:val="00481B08"/>
    <w:rsid w:val="00481CEB"/>
    <w:rsid w:val="00482441"/>
    <w:rsid w:val="00482CA9"/>
    <w:rsid w:val="004833AF"/>
    <w:rsid w:val="00483903"/>
    <w:rsid w:val="00484083"/>
    <w:rsid w:val="004848AD"/>
    <w:rsid w:val="00484CD6"/>
    <w:rsid w:val="00484FC1"/>
    <w:rsid w:val="004859AE"/>
    <w:rsid w:val="004866AC"/>
    <w:rsid w:val="0048689A"/>
    <w:rsid w:val="00486AF3"/>
    <w:rsid w:val="00487D14"/>
    <w:rsid w:val="00490A65"/>
    <w:rsid w:val="00490E1B"/>
    <w:rsid w:val="00491C75"/>
    <w:rsid w:val="00491D62"/>
    <w:rsid w:val="0049233F"/>
    <w:rsid w:val="00492D33"/>
    <w:rsid w:val="004937CE"/>
    <w:rsid w:val="0049380E"/>
    <w:rsid w:val="00494381"/>
    <w:rsid w:val="0049480E"/>
    <w:rsid w:val="0049528D"/>
    <w:rsid w:val="004959A6"/>
    <w:rsid w:val="00496646"/>
    <w:rsid w:val="00496AD8"/>
    <w:rsid w:val="0049701B"/>
    <w:rsid w:val="0049729C"/>
    <w:rsid w:val="00497DBA"/>
    <w:rsid w:val="004A00A9"/>
    <w:rsid w:val="004A02B6"/>
    <w:rsid w:val="004A0484"/>
    <w:rsid w:val="004A0987"/>
    <w:rsid w:val="004A0CC4"/>
    <w:rsid w:val="004A0EF8"/>
    <w:rsid w:val="004A1EAC"/>
    <w:rsid w:val="004A2011"/>
    <w:rsid w:val="004A245F"/>
    <w:rsid w:val="004A30A6"/>
    <w:rsid w:val="004A41A0"/>
    <w:rsid w:val="004A4B6D"/>
    <w:rsid w:val="004A4EEA"/>
    <w:rsid w:val="004A506F"/>
    <w:rsid w:val="004A52CE"/>
    <w:rsid w:val="004A5C76"/>
    <w:rsid w:val="004A6C50"/>
    <w:rsid w:val="004A74E2"/>
    <w:rsid w:val="004A7C2C"/>
    <w:rsid w:val="004B16B2"/>
    <w:rsid w:val="004B2178"/>
    <w:rsid w:val="004B227E"/>
    <w:rsid w:val="004B2408"/>
    <w:rsid w:val="004B2520"/>
    <w:rsid w:val="004B29DA"/>
    <w:rsid w:val="004B2BD0"/>
    <w:rsid w:val="004B2ED7"/>
    <w:rsid w:val="004B33F2"/>
    <w:rsid w:val="004B36DD"/>
    <w:rsid w:val="004B388F"/>
    <w:rsid w:val="004B4B14"/>
    <w:rsid w:val="004B4EA3"/>
    <w:rsid w:val="004B5863"/>
    <w:rsid w:val="004B6151"/>
    <w:rsid w:val="004B6845"/>
    <w:rsid w:val="004B7423"/>
    <w:rsid w:val="004B7748"/>
    <w:rsid w:val="004B777E"/>
    <w:rsid w:val="004B7980"/>
    <w:rsid w:val="004C005D"/>
    <w:rsid w:val="004C041E"/>
    <w:rsid w:val="004C04AC"/>
    <w:rsid w:val="004C0F26"/>
    <w:rsid w:val="004C117D"/>
    <w:rsid w:val="004C1E2E"/>
    <w:rsid w:val="004C2D4F"/>
    <w:rsid w:val="004C2F09"/>
    <w:rsid w:val="004C3908"/>
    <w:rsid w:val="004C3ED0"/>
    <w:rsid w:val="004C400C"/>
    <w:rsid w:val="004C451F"/>
    <w:rsid w:val="004C4B29"/>
    <w:rsid w:val="004C4D45"/>
    <w:rsid w:val="004C4F42"/>
    <w:rsid w:val="004C5349"/>
    <w:rsid w:val="004C5475"/>
    <w:rsid w:val="004C55BD"/>
    <w:rsid w:val="004C6129"/>
    <w:rsid w:val="004C73FE"/>
    <w:rsid w:val="004D0093"/>
    <w:rsid w:val="004D052A"/>
    <w:rsid w:val="004D05C4"/>
    <w:rsid w:val="004D0776"/>
    <w:rsid w:val="004D08FE"/>
    <w:rsid w:val="004D14B0"/>
    <w:rsid w:val="004D1626"/>
    <w:rsid w:val="004D162E"/>
    <w:rsid w:val="004D2413"/>
    <w:rsid w:val="004D24A8"/>
    <w:rsid w:val="004D3CB4"/>
    <w:rsid w:val="004D464A"/>
    <w:rsid w:val="004D471A"/>
    <w:rsid w:val="004D4D87"/>
    <w:rsid w:val="004D548F"/>
    <w:rsid w:val="004D57C2"/>
    <w:rsid w:val="004D61F9"/>
    <w:rsid w:val="004D68C1"/>
    <w:rsid w:val="004D68EC"/>
    <w:rsid w:val="004D6A2E"/>
    <w:rsid w:val="004D6F95"/>
    <w:rsid w:val="004D7314"/>
    <w:rsid w:val="004D7714"/>
    <w:rsid w:val="004D7969"/>
    <w:rsid w:val="004E016D"/>
    <w:rsid w:val="004E0A42"/>
    <w:rsid w:val="004E0D66"/>
    <w:rsid w:val="004E1545"/>
    <w:rsid w:val="004E1978"/>
    <w:rsid w:val="004E1B95"/>
    <w:rsid w:val="004E29FF"/>
    <w:rsid w:val="004E2B7B"/>
    <w:rsid w:val="004E2CBD"/>
    <w:rsid w:val="004E33F1"/>
    <w:rsid w:val="004E342D"/>
    <w:rsid w:val="004E3795"/>
    <w:rsid w:val="004E39C1"/>
    <w:rsid w:val="004E3D26"/>
    <w:rsid w:val="004E40D6"/>
    <w:rsid w:val="004E4745"/>
    <w:rsid w:val="004E4851"/>
    <w:rsid w:val="004E4C9E"/>
    <w:rsid w:val="004E4CF9"/>
    <w:rsid w:val="004E50CF"/>
    <w:rsid w:val="004E5659"/>
    <w:rsid w:val="004E56E7"/>
    <w:rsid w:val="004E56F7"/>
    <w:rsid w:val="004E63F0"/>
    <w:rsid w:val="004E6A9A"/>
    <w:rsid w:val="004E6CF9"/>
    <w:rsid w:val="004E72BE"/>
    <w:rsid w:val="004E76BE"/>
    <w:rsid w:val="004F0402"/>
    <w:rsid w:val="004F15DD"/>
    <w:rsid w:val="004F16BD"/>
    <w:rsid w:val="004F1D17"/>
    <w:rsid w:val="004F1D8B"/>
    <w:rsid w:val="004F2125"/>
    <w:rsid w:val="004F2259"/>
    <w:rsid w:val="004F2E6C"/>
    <w:rsid w:val="004F2EEB"/>
    <w:rsid w:val="004F311C"/>
    <w:rsid w:val="004F31E1"/>
    <w:rsid w:val="004F4125"/>
    <w:rsid w:val="004F4659"/>
    <w:rsid w:val="004F534C"/>
    <w:rsid w:val="004F55E3"/>
    <w:rsid w:val="004F581C"/>
    <w:rsid w:val="004F5977"/>
    <w:rsid w:val="004F5A73"/>
    <w:rsid w:val="004F5F1F"/>
    <w:rsid w:val="004F6619"/>
    <w:rsid w:val="004F66F3"/>
    <w:rsid w:val="004F6EE1"/>
    <w:rsid w:val="004F6FB1"/>
    <w:rsid w:val="004F6FD2"/>
    <w:rsid w:val="004F7300"/>
    <w:rsid w:val="004F741A"/>
    <w:rsid w:val="004F7656"/>
    <w:rsid w:val="004F7A18"/>
    <w:rsid w:val="004F7CEC"/>
    <w:rsid w:val="004F7F48"/>
    <w:rsid w:val="00500C40"/>
    <w:rsid w:val="005010AB"/>
    <w:rsid w:val="00501651"/>
    <w:rsid w:val="00502582"/>
    <w:rsid w:val="00502E82"/>
    <w:rsid w:val="00503071"/>
    <w:rsid w:val="0050361C"/>
    <w:rsid w:val="00503AE6"/>
    <w:rsid w:val="00503F7C"/>
    <w:rsid w:val="0050413F"/>
    <w:rsid w:val="0050491A"/>
    <w:rsid w:val="0050525D"/>
    <w:rsid w:val="0050577D"/>
    <w:rsid w:val="00505CD5"/>
    <w:rsid w:val="00506419"/>
    <w:rsid w:val="00506EE9"/>
    <w:rsid w:val="00507793"/>
    <w:rsid w:val="00507930"/>
    <w:rsid w:val="005101C9"/>
    <w:rsid w:val="005102D8"/>
    <w:rsid w:val="00510720"/>
    <w:rsid w:val="00510892"/>
    <w:rsid w:val="00510A0A"/>
    <w:rsid w:val="00510FC6"/>
    <w:rsid w:val="0051114F"/>
    <w:rsid w:val="00511423"/>
    <w:rsid w:val="00511451"/>
    <w:rsid w:val="005116D8"/>
    <w:rsid w:val="00511DD0"/>
    <w:rsid w:val="0051266E"/>
    <w:rsid w:val="005129A8"/>
    <w:rsid w:val="00512BAA"/>
    <w:rsid w:val="00512D4C"/>
    <w:rsid w:val="005131FB"/>
    <w:rsid w:val="005135E6"/>
    <w:rsid w:val="00513B01"/>
    <w:rsid w:val="0051417E"/>
    <w:rsid w:val="005149A3"/>
    <w:rsid w:val="00514DE1"/>
    <w:rsid w:val="00514F04"/>
    <w:rsid w:val="00514F9B"/>
    <w:rsid w:val="0051533C"/>
    <w:rsid w:val="00515588"/>
    <w:rsid w:val="005159F6"/>
    <w:rsid w:val="00515AD3"/>
    <w:rsid w:val="00515E98"/>
    <w:rsid w:val="00515F50"/>
    <w:rsid w:val="00516E29"/>
    <w:rsid w:val="005170F8"/>
    <w:rsid w:val="0051718C"/>
    <w:rsid w:val="00517668"/>
    <w:rsid w:val="00517916"/>
    <w:rsid w:val="005179CF"/>
    <w:rsid w:val="00517B12"/>
    <w:rsid w:val="00517D41"/>
    <w:rsid w:val="00517E37"/>
    <w:rsid w:val="005209E2"/>
    <w:rsid w:val="00520EFE"/>
    <w:rsid w:val="005212EF"/>
    <w:rsid w:val="0052341E"/>
    <w:rsid w:val="0052364E"/>
    <w:rsid w:val="00523868"/>
    <w:rsid w:val="00523CD9"/>
    <w:rsid w:val="00523FBE"/>
    <w:rsid w:val="00525449"/>
    <w:rsid w:val="00525675"/>
    <w:rsid w:val="0052589B"/>
    <w:rsid w:val="00525C64"/>
    <w:rsid w:val="00525E2B"/>
    <w:rsid w:val="005263C6"/>
    <w:rsid w:val="00526696"/>
    <w:rsid w:val="00526957"/>
    <w:rsid w:val="005278C5"/>
    <w:rsid w:val="00531440"/>
    <w:rsid w:val="00531E2B"/>
    <w:rsid w:val="005321BE"/>
    <w:rsid w:val="00532747"/>
    <w:rsid w:val="005329C0"/>
    <w:rsid w:val="00532B36"/>
    <w:rsid w:val="00532B66"/>
    <w:rsid w:val="00532FBF"/>
    <w:rsid w:val="00533013"/>
    <w:rsid w:val="0053301F"/>
    <w:rsid w:val="00533448"/>
    <w:rsid w:val="00533A10"/>
    <w:rsid w:val="0053406A"/>
    <w:rsid w:val="0053458F"/>
    <w:rsid w:val="0053659A"/>
    <w:rsid w:val="00536A00"/>
    <w:rsid w:val="00536C9B"/>
    <w:rsid w:val="005371BB"/>
    <w:rsid w:val="005372D3"/>
    <w:rsid w:val="00537AB0"/>
    <w:rsid w:val="00537B84"/>
    <w:rsid w:val="00537FED"/>
    <w:rsid w:val="005406B4"/>
    <w:rsid w:val="00540723"/>
    <w:rsid w:val="0054075E"/>
    <w:rsid w:val="00540D25"/>
    <w:rsid w:val="00540DCF"/>
    <w:rsid w:val="0054119A"/>
    <w:rsid w:val="00541446"/>
    <w:rsid w:val="0054182E"/>
    <w:rsid w:val="005418A0"/>
    <w:rsid w:val="00541A84"/>
    <w:rsid w:val="00541CA9"/>
    <w:rsid w:val="00541F9F"/>
    <w:rsid w:val="005420F2"/>
    <w:rsid w:val="005428AC"/>
    <w:rsid w:val="0054363C"/>
    <w:rsid w:val="00543E29"/>
    <w:rsid w:val="00543F35"/>
    <w:rsid w:val="00543F3B"/>
    <w:rsid w:val="00544309"/>
    <w:rsid w:val="0054458D"/>
    <w:rsid w:val="00544952"/>
    <w:rsid w:val="00544F7B"/>
    <w:rsid w:val="005450DB"/>
    <w:rsid w:val="00545381"/>
    <w:rsid w:val="00546BE6"/>
    <w:rsid w:val="00546F31"/>
    <w:rsid w:val="00547189"/>
    <w:rsid w:val="00547378"/>
    <w:rsid w:val="00547874"/>
    <w:rsid w:val="00547BDB"/>
    <w:rsid w:val="00547F0E"/>
    <w:rsid w:val="00551BB2"/>
    <w:rsid w:val="00551C2E"/>
    <w:rsid w:val="00552C68"/>
    <w:rsid w:val="00552C80"/>
    <w:rsid w:val="00553266"/>
    <w:rsid w:val="00553588"/>
    <w:rsid w:val="005535B9"/>
    <w:rsid w:val="005535BA"/>
    <w:rsid w:val="005544A7"/>
    <w:rsid w:val="00554668"/>
    <w:rsid w:val="005546B4"/>
    <w:rsid w:val="00554A92"/>
    <w:rsid w:val="00555AEA"/>
    <w:rsid w:val="005562FF"/>
    <w:rsid w:val="00556332"/>
    <w:rsid w:val="00556621"/>
    <w:rsid w:val="005567D5"/>
    <w:rsid w:val="00556D4C"/>
    <w:rsid w:val="00556F79"/>
    <w:rsid w:val="005570F3"/>
    <w:rsid w:val="00557168"/>
    <w:rsid w:val="00557225"/>
    <w:rsid w:val="00557CC8"/>
    <w:rsid w:val="0056033D"/>
    <w:rsid w:val="00560B05"/>
    <w:rsid w:val="00560B99"/>
    <w:rsid w:val="00560F47"/>
    <w:rsid w:val="005610A0"/>
    <w:rsid w:val="005611ED"/>
    <w:rsid w:val="005613CA"/>
    <w:rsid w:val="005614CA"/>
    <w:rsid w:val="00561555"/>
    <w:rsid w:val="00561960"/>
    <w:rsid w:val="00561B85"/>
    <w:rsid w:val="00561E1B"/>
    <w:rsid w:val="00562776"/>
    <w:rsid w:val="00562B0F"/>
    <w:rsid w:val="0056382A"/>
    <w:rsid w:val="00563A0C"/>
    <w:rsid w:val="00563F28"/>
    <w:rsid w:val="00565A8D"/>
    <w:rsid w:val="00566136"/>
    <w:rsid w:val="005664EA"/>
    <w:rsid w:val="005668B2"/>
    <w:rsid w:val="00566CE1"/>
    <w:rsid w:val="00566EC8"/>
    <w:rsid w:val="0056742B"/>
    <w:rsid w:val="005676B9"/>
    <w:rsid w:val="00567CAE"/>
    <w:rsid w:val="0057003D"/>
    <w:rsid w:val="00570161"/>
    <w:rsid w:val="00570280"/>
    <w:rsid w:val="00570442"/>
    <w:rsid w:val="00570B2E"/>
    <w:rsid w:val="00571CB2"/>
    <w:rsid w:val="00573576"/>
    <w:rsid w:val="00573C7A"/>
    <w:rsid w:val="00573EAF"/>
    <w:rsid w:val="0057438B"/>
    <w:rsid w:val="0057460D"/>
    <w:rsid w:val="005746BF"/>
    <w:rsid w:val="00574755"/>
    <w:rsid w:val="00575226"/>
    <w:rsid w:val="00576E1A"/>
    <w:rsid w:val="005773EF"/>
    <w:rsid w:val="00577847"/>
    <w:rsid w:val="00577CF4"/>
    <w:rsid w:val="00577D39"/>
    <w:rsid w:val="00577DFC"/>
    <w:rsid w:val="005804C9"/>
    <w:rsid w:val="005808CE"/>
    <w:rsid w:val="00580CD7"/>
    <w:rsid w:val="00580D60"/>
    <w:rsid w:val="00580E7C"/>
    <w:rsid w:val="00581562"/>
    <w:rsid w:val="005816AA"/>
    <w:rsid w:val="005821E4"/>
    <w:rsid w:val="005823FA"/>
    <w:rsid w:val="005827D7"/>
    <w:rsid w:val="005836B5"/>
    <w:rsid w:val="005837D0"/>
    <w:rsid w:val="0058467A"/>
    <w:rsid w:val="00584F7E"/>
    <w:rsid w:val="00585049"/>
    <w:rsid w:val="00585EDD"/>
    <w:rsid w:val="00586732"/>
    <w:rsid w:val="0058725E"/>
    <w:rsid w:val="00587FC3"/>
    <w:rsid w:val="00590D02"/>
    <w:rsid w:val="00591585"/>
    <w:rsid w:val="00592172"/>
    <w:rsid w:val="00592A6B"/>
    <w:rsid w:val="005937E8"/>
    <w:rsid w:val="00595835"/>
    <w:rsid w:val="00595FA2"/>
    <w:rsid w:val="0059619C"/>
    <w:rsid w:val="00596508"/>
    <w:rsid w:val="0059658A"/>
    <w:rsid w:val="00596930"/>
    <w:rsid w:val="00597491"/>
    <w:rsid w:val="005A0224"/>
    <w:rsid w:val="005A0EFA"/>
    <w:rsid w:val="005A1A72"/>
    <w:rsid w:val="005A2215"/>
    <w:rsid w:val="005A2963"/>
    <w:rsid w:val="005A2AB7"/>
    <w:rsid w:val="005A3907"/>
    <w:rsid w:val="005A3F75"/>
    <w:rsid w:val="005A4184"/>
    <w:rsid w:val="005A4575"/>
    <w:rsid w:val="005A4AEC"/>
    <w:rsid w:val="005A4B68"/>
    <w:rsid w:val="005A56EC"/>
    <w:rsid w:val="005A5855"/>
    <w:rsid w:val="005A5A08"/>
    <w:rsid w:val="005A5FC8"/>
    <w:rsid w:val="005A6137"/>
    <w:rsid w:val="005A62EE"/>
    <w:rsid w:val="005A677E"/>
    <w:rsid w:val="005A7552"/>
    <w:rsid w:val="005A7E78"/>
    <w:rsid w:val="005B051A"/>
    <w:rsid w:val="005B0E11"/>
    <w:rsid w:val="005B10BE"/>
    <w:rsid w:val="005B17C6"/>
    <w:rsid w:val="005B1BE0"/>
    <w:rsid w:val="005B1DBF"/>
    <w:rsid w:val="005B2511"/>
    <w:rsid w:val="005B25F6"/>
    <w:rsid w:val="005B288E"/>
    <w:rsid w:val="005B355D"/>
    <w:rsid w:val="005B3688"/>
    <w:rsid w:val="005B4065"/>
    <w:rsid w:val="005B485F"/>
    <w:rsid w:val="005B59B1"/>
    <w:rsid w:val="005B5AC5"/>
    <w:rsid w:val="005B5B23"/>
    <w:rsid w:val="005B6B08"/>
    <w:rsid w:val="005B74D4"/>
    <w:rsid w:val="005B7863"/>
    <w:rsid w:val="005B7C87"/>
    <w:rsid w:val="005C044A"/>
    <w:rsid w:val="005C0F91"/>
    <w:rsid w:val="005C11EA"/>
    <w:rsid w:val="005C1769"/>
    <w:rsid w:val="005C188D"/>
    <w:rsid w:val="005C1AFF"/>
    <w:rsid w:val="005C1B87"/>
    <w:rsid w:val="005C1CB9"/>
    <w:rsid w:val="005C3B45"/>
    <w:rsid w:val="005C3CE8"/>
    <w:rsid w:val="005C4E44"/>
    <w:rsid w:val="005C4F3E"/>
    <w:rsid w:val="005C5693"/>
    <w:rsid w:val="005C572F"/>
    <w:rsid w:val="005C5733"/>
    <w:rsid w:val="005C5CCD"/>
    <w:rsid w:val="005C62DA"/>
    <w:rsid w:val="005C6444"/>
    <w:rsid w:val="005C6BF0"/>
    <w:rsid w:val="005C6C93"/>
    <w:rsid w:val="005C720F"/>
    <w:rsid w:val="005C7415"/>
    <w:rsid w:val="005C7492"/>
    <w:rsid w:val="005C76F4"/>
    <w:rsid w:val="005D01B8"/>
    <w:rsid w:val="005D054D"/>
    <w:rsid w:val="005D05F9"/>
    <w:rsid w:val="005D082C"/>
    <w:rsid w:val="005D161E"/>
    <w:rsid w:val="005D1726"/>
    <w:rsid w:val="005D1F3C"/>
    <w:rsid w:val="005D2318"/>
    <w:rsid w:val="005D25F5"/>
    <w:rsid w:val="005D278B"/>
    <w:rsid w:val="005D33E8"/>
    <w:rsid w:val="005D35BB"/>
    <w:rsid w:val="005D41E1"/>
    <w:rsid w:val="005D42E3"/>
    <w:rsid w:val="005D4E52"/>
    <w:rsid w:val="005D527A"/>
    <w:rsid w:val="005D5EC0"/>
    <w:rsid w:val="005D67BF"/>
    <w:rsid w:val="005D680F"/>
    <w:rsid w:val="005D6F18"/>
    <w:rsid w:val="005D7046"/>
    <w:rsid w:val="005D70FF"/>
    <w:rsid w:val="005D7E0A"/>
    <w:rsid w:val="005E0A47"/>
    <w:rsid w:val="005E0F4B"/>
    <w:rsid w:val="005E1221"/>
    <w:rsid w:val="005E1800"/>
    <w:rsid w:val="005E1B2F"/>
    <w:rsid w:val="005E2D07"/>
    <w:rsid w:val="005E396D"/>
    <w:rsid w:val="005E3D96"/>
    <w:rsid w:val="005E409F"/>
    <w:rsid w:val="005E4694"/>
    <w:rsid w:val="005E478F"/>
    <w:rsid w:val="005E5B5D"/>
    <w:rsid w:val="005E5F51"/>
    <w:rsid w:val="005E6239"/>
    <w:rsid w:val="005E69B8"/>
    <w:rsid w:val="005E6E03"/>
    <w:rsid w:val="005F09AE"/>
    <w:rsid w:val="005F0B58"/>
    <w:rsid w:val="005F0F0D"/>
    <w:rsid w:val="005F154B"/>
    <w:rsid w:val="005F1CFF"/>
    <w:rsid w:val="005F2B97"/>
    <w:rsid w:val="005F2C4F"/>
    <w:rsid w:val="005F2CF6"/>
    <w:rsid w:val="005F397F"/>
    <w:rsid w:val="005F530C"/>
    <w:rsid w:val="005F5331"/>
    <w:rsid w:val="005F599E"/>
    <w:rsid w:val="005F59E7"/>
    <w:rsid w:val="005F5F0A"/>
    <w:rsid w:val="005F6853"/>
    <w:rsid w:val="005F6881"/>
    <w:rsid w:val="005F6E01"/>
    <w:rsid w:val="005F6E0C"/>
    <w:rsid w:val="005F72FB"/>
    <w:rsid w:val="005F760C"/>
    <w:rsid w:val="006000FC"/>
    <w:rsid w:val="0060022E"/>
    <w:rsid w:val="00600490"/>
    <w:rsid w:val="00600575"/>
    <w:rsid w:val="00600AA3"/>
    <w:rsid w:val="00600E4B"/>
    <w:rsid w:val="006011CD"/>
    <w:rsid w:val="0060126C"/>
    <w:rsid w:val="006013C8"/>
    <w:rsid w:val="00601B69"/>
    <w:rsid w:val="00603079"/>
    <w:rsid w:val="0060320D"/>
    <w:rsid w:val="0060329E"/>
    <w:rsid w:val="00603CF3"/>
    <w:rsid w:val="00605074"/>
    <w:rsid w:val="00605AE8"/>
    <w:rsid w:val="00605D2E"/>
    <w:rsid w:val="00605E73"/>
    <w:rsid w:val="00606928"/>
    <w:rsid w:val="00606949"/>
    <w:rsid w:val="00606DD7"/>
    <w:rsid w:val="00606F78"/>
    <w:rsid w:val="00607068"/>
    <w:rsid w:val="006077EC"/>
    <w:rsid w:val="006104FB"/>
    <w:rsid w:val="006106AF"/>
    <w:rsid w:val="006109FB"/>
    <w:rsid w:val="00610D96"/>
    <w:rsid w:val="00610F9C"/>
    <w:rsid w:val="006114A5"/>
    <w:rsid w:val="0061177F"/>
    <w:rsid w:val="0061306E"/>
    <w:rsid w:val="0061363D"/>
    <w:rsid w:val="006151D3"/>
    <w:rsid w:val="006155D8"/>
    <w:rsid w:val="006157C5"/>
    <w:rsid w:val="00615B47"/>
    <w:rsid w:val="00615B9F"/>
    <w:rsid w:val="00615D45"/>
    <w:rsid w:val="00616295"/>
    <w:rsid w:val="00616FD2"/>
    <w:rsid w:val="006173C3"/>
    <w:rsid w:val="006173F8"/>
    <w:rsid w:val="00617C5A"/>
    <w:rsid w:val="00617CFA"/>
    <w:rsid w:val="00620324"/>
    <w:rsid w:val="00620884"/>
    <w:rsid w:val="00621172"/>
    <w:rsid w:val="00621615"/>
    <w:rsid w:val="006216E9"/>
    <w:rsid w:val="00621A69"/>
    <w:rsid w:val="00623078"/>
    <w:rsid w:val="006233B3"/>
    <w:rsid w:val="006237AC"/>
    <w:rsid w:val="0062382A"/>
    <w:rsid w:val="00624070"/>
    <w:rsid w:val="0062444B"/>
    <w:rsid w:val="006246D6"/>
    <w:rsid w:val="006248F8"/>
    <w:rsid w:val="00624CD9"/>
    <w:rsid w:val="00624D06"/>
    <w:rsid w:val="006252D3"/>
    <w:rsid w:val="0062580D"/>
    <w:rsid w:val="00625F21"/>
    <w:rsid w:val="00626E6B"/>
    <w:rsid w:val="00627335"/>
    <w:rsid w:val="00627556"/>
    <w:rsid w:val="00627CC6"/>
    <w:rsid w:val="00627D0E"/>
    <w:rsid w:val="00630137"/>
    <w:rsid w:val="00630158"/>
    <w:rsid w:val="00630200"/>
    <w:rsid w:val="00630215"/>
    <w:rsid w:val="00630B64"/>
    <w:rsid w:val="00630B8E"/>
    <w:rsid w:val="006311BF"/>
    <w:rsid w:val="00631885"/>
    <w:rsid w:val="00631AB3"/>
    <w:rsid w:val="0063247E"/>
    <w:rsid w:val="0063256F"/>
    <w:rsid w:val="00634081"/>
    <w:rsid w:val="00634476"/>
    <w:rsid w:val="006345E2"/>
    <w:rsid w:val="00634782"/>
    <w:rsid w:val="00634BAF"/>
    <w:rsid w:val="00634DAE"/>
    <w:rsid w:val="00634F07"/>
    <w:rsid w:val="00635575"/>
    <w:rsid w:val="006361B8"/>
    <w:rsid w:val="00636366"/>
    <w:rsid w:val="00636650"/>
    <w:rsid w:val="006379BE"/>
    <w:rsid w:val="00637DDD"/>
    <w:rsid w:val="00640052"/>
    <w:rsid w:val="00640320"/>
    <w:rsid w:val="00641523"/>
    <w:rsid w:val="006418AB"/>
    <w:rsid w:val="00641BCB"/>
    <w:rsid w:val="00641E29"/>
    <w:rsid w:val="00642096"/>
    <w:rsid w:val="0064269A"/>
    <w:rsid w:val="00643037"/>
    <w:rsid w:val="006432A3"/>
    <w:rsid w:val="00643504"/>
    <w:rsid w:val="00643561"/>
    <w:rsid w:val="006439B7"/>
    <w:rsid w:val="006440BE"/>
    <w:rsid w:val="0064433B"/>
    <w:rsid w:val="00644374"/>
    <w:rsid w:val="0064440B"/>
    <w:rsid w:val="00645237"/>
    <w:rsid w:val="00645372"/>
    <w:rsid w:val="00645BF3"/>
    <w:rsid w:val="00646B68"/>
    <w:rsid w:val="006471C8"/>
    <w:rsid w:val="006471EA"/>
    <w:rsid w:val="00650556"/>
    <w:rsid w:val="00650CD3"/>
    <w:rsid w:val="006510B5"/>
    <w:rsid w:val="006518EF"/>
    <w:rsid w:val="00651E2D"/>
    <w:rsid w:val="00652079"/>
    <w:rsid w:val="00652EEC"/>
    <w:rsid w:val="00653647"/>
    <w:rsid w:val="006537FD"/>
    <w:rsid w:val="00654B58"/>
    <w:rsid w:val="00655320"/>
    <w:rsid w:val="006555B5"/>
    <w:rsid w:val="00655D56"/>
    <w:rsid w:val="00656A7C"/>
    <w:rsid w:val="00656B70"/>
    <w:rsid w:val="00656EC1"/>
    <w:rsid w:val="00656FEC"/>
    <w:rsid w:val="0065711F"/>
    <w:rsid w:val="006575CD"/>
    <w:rsid w:val="006577F8"/>
    <w:rsid w:val="00660009"/>
    <w:rsid w:val="00661571"/>
    <w:rsid w:val="006622CB"/>
    <w:rsid w:val="00663209"/>
    <w:rsid w:val="00663340"/>
    <w:rsid w:val="0066422B"/>
    <w:rsid w:val="00664420"/>
    <w:rsid w:val="00664502"/>
    <w:rsid w:val="00664B92"/>
    <w:rsid w:val="00665693"/>
    <w:rsid w:val="006656C9"/>
    <w:rsid w:val="00665711"/>
    <w:rsid w:val="0066586F"/>
    <w:rsid w:val="006659A9"/>
    <w:rsid w:val="006659E7"/>
    <w:rsid w:val="006661ED"/>
    <w:rsid w:val="00666703"/>
    <w:rsid w:val="00666857"/>
    <w:rsid w:val="00666E39"/>
    <w:rsid w:val="00667A15"/>
    <w:rsid w:val="00667AE2"/>
    <w:rsid w:val="00670168"/>
    <w:rsid w:val="006707EE"/>
    <w:rsid w:val="00670ED1"/>
    <w:rsid w:val="006713AB"/>
    <w:rsid w:val="00671437"/>
    <w:rsid w:val="00671760"/>
    <w:rsid w:val="00671CFF"/>
    <w:rsid w:val="00671DAD"/>
    <w:rsid w:val="006724E5"/>
    <w:rsid w:val="00672FBA"/>
    <w:rsid w:val="0067305F"/>
    <w:rsid w:val="0067308C"/>
    <w:rsid w:val="00673093"/>
    <w:rsid w:val="006730F5"/>
    <w:rsid w:val="006733E9"/>
    <w:rsid w:val="00673B7C"/>
    <w:rsid w:val="00673C73"/>
    <w:rsid w:val="0067454F"/>
    <w:rsid w:val="00674ADD"/>
    <w:rsid w:val="0067521D"/>
    <w:rsid w:val="0067534F"/>
    <w:rsid w:val="00675841"/>
    <w:rsid w:val="00675AC2"/>
    <w:rsid w:val="00675DF3"/>
    <w:rsid w:val="006760DA"/>
    <w:rsid w:val="006760E4"/>
    <w:rsid w:val="006767D4"/>
    <w:rsid w:val="00676918"/>
    <w:rsid w:val="0067691F"/>
    <w:rsid w:val="00676B2E"/>
    <w:rsid w:val="00676B9E"/>
    <w:rsid w:val="00677193"/>
    <w:rsid w:val="00677F02"/>
    <w:rsid w:val="00680FE4"/>
    <w:rsid w:val="006818C4"/>
    <w:rsid w:val="00681C15"/>
    <w:rsid w:val="00682040"/>
    <w:rsid w:val="00682BD5"/>
    <w:rsid w:val="006833C5"/>
    <w:rsid w:val="00683729"/>
    <w:rsid w:val="00683E6D"/>
    <w:rsid w:val="006843EB"/>
    <w:rsid w:val="00684431"/>
    <w:rsid w:val="00684477"/>
    <w:rsid w:val="00684DFA"/>
    <w:rsid w:val="00684F4A"/>
    <w:rsid w:val="006852B1"/>
    <w:rsid w:val="0068584E"/>
    <w:rsid w:val="00685F13"/>
    <w:rsid w:val="0068654E"/>
    <w:rsid w:val="00686918"/>
    <w:rsid w:val="00686DCE"/>
    <w:rsid w:val="00690195"/>
    <w:rsid w:val="006904D5"/>
    <w:rsid w:val="006908C3"/>
    <w:rsid w:val="00691257"/>
    <w:rsid w:val="00692336"/>
    <w:rsid w:val="006923D3"/>
    <w:rsid w:val="00692605"/>
    <w:rsid w:val="00692D5D"/>
    <w:rsid w:val="006936E0"/>
    <w:rsid w:val="006939D6"/>
    <w:rsid w:val="00693B2C"/>
    <w:rsid w:val="00694107"/>
    <w:rsid w:val="0069426F"/>
    <w:rsid w:val="00694968"/>
    <w:rsid w:val="00694F97"/>
    <w:rsid w:val="0069531D"/>
    <w:rsid w:val="006963F8"/>
    <w:rsid w:val="0069673D"/>
    <w:rsid w:val="0069699D"/>
    <w:rsid w:val="00696F2A"/>
    <w:rsid w:val="00696F4D"/>
    <w:rsid w:val="006976EF"/>
    <w:rsid w:val="00697723"/>
    <w:rsid w:val="00697CE7"/>
    <w:rsid w:val="00697E1D"/>
    <w:rsid w:val="006A022E"/>
    <w:rsid w:val="006A1D35"/>
    <w:rsid w:val="006A1E80"/>
    <w:rsid w:val="006A2CB0"/>
    <w:rsid w:val="006A3111"/>
    <w:rsid w:val="006A3202"/>
    <w:rsid w:val="006A3359"/>
    <w:rsid w:val="006A609E"/>
    <w:rsid w:val="006A6F03"/>
    <w:rsid w:val="006A714B"/>
    <w:rsid w:val="006A7C63"/>
    <w:rsid w:val="006B09A4"/>
    <w:rsid w:val="006B0A78"/>
    <w:rsid w:val="006B0F5F"/>
    <w:rsid w:val="006B1231"/>
    <w:rsid w:val="006B1314"/>
    <w:rsid w:val="006B14A0"/>
    <w:rsid w:val="006B180F"/>
    <w:rsid w:val="006B1845"/>
    <w:rsid w:val="006B1C65"/>
    <w:rsid w:val="006B1F38"/>
    <w:rsid w:val="006B20BE"/>
    <w:rsid w:val="006B2673"/>
    <w:rsid w:val="006B29C4"/>
    <w:rsid w:val="006B2A3E"/>
    <w:rsid w:val="006B2F32"/>
    <w:rsid w:val="006B36FD"/>
    <w:rsid w:val="006B38B2"/>
    <w:rsid w:val="006B395B"/>
    <w:rsid w:val="006B42FD"/>
    <w:rsid w:val="006B43EE"/>
    <w:rsid w:val="006B586C"/>
    <w:rsid w:val="006B58A6"/>
    <w:rsid w:val="006B58BC"/>
    <w:rsid w:val="006B5DFD"/>
    <w:rsid w:val="006B6C9D"/>
    <w:rsid w:val="006B6F90"/>
    <w:rsid w:val="006B7357"/>
    <w:rsid w:val="006B7966"/>
    <w:rsid w:val="006C0527"/>
    <w:rsid w:val="006C092A"/>
    <w:rsid w:val="006C09F3"/>
    <w:rsid w:val="006C12AF"/>
    <w:rsid w:val="006C1681"/>
    <w:rsid w:val="006C177D"/>
    <w:rsid w:val="006C1C58"/>
    <w:rsid w:val="006C1D71"/>
    <w:rsid w:val="006C231E"/>
    <w:rsid w:val="006C2772"/>
    <w:rsid w:val="006C27A1"/>
    <w:rsid w:val="006C28C5"/>
    <w:rsid w:val="006C2BA1"/>
    <w:rsid w:val="006C3078"/>
    <w:rsid w:val="006C3175"/>
    <w:rsid w:val="006C38E6"/>
    <w:rsid w:val="006C3FFF"/>
    <w:rsid w:val="006C5598"/>
    <w:rsid w:val="006C5790"/>
    <w:rsid w:val="006C58D1"/>
    <w:rsid w:val="006C5E57"/>
    <w:rsid w:val="006C60D9"/>
    <w:rsid w:val="006C6272"/>
    <w:rsid w:val="006C63AE"/>
    <w:rsid w:val="006C647E"/>
    <w:rsid w:val="006C6705"/>
    <w:rsid w:val="006C6BE5"/>
    <w:rsid w:val="006C6D39"/>
    <w:rsid w:val="006C719D"/>
    <w:rsid w:val="006C7358"/>
    <w:rsid w:val="006C73A8"/>
    <w:rsid w:val="006C77C0"/>
    <w:rsid w:val="006C781B"/>
    <w:rsid w:val="006D025E"/>
    <w:rsid w:val="006D0CC5"/>
    <w:rsid w:val="006D198E"/>
    <w:rsid w:val="006D233C"/>
    <w:rsid w:val="006D242A"/>
    <w:rsid w:val="006D2716"/>
    <w:rsid w:val="006D2E0E"/>
    <w:rsid w:val="006D2EB2"/>
    <w:rsid w:val="006D3D86"/>
    <w:rsid w:val="006D401E"/>
    <w:rsid w:val="006D4859"/>
    <w:rsid w:val="006D48F2"/>
    <w:rsid w:val="006D4FF1"/>
    <w:rsid w:val="006D6027"/>
    <w:rsid w:val="006D62FA"/>
    <w:rsid w:val="006D685A"/>
    <w:rsid w:val="006D6C91"/>
    <w:rsid w:val="006D7065"/>
    <w:rsid w:val="006D70C8"/>
    <w:rsid w:val="006D751E"/>
    <w:rsid w:val="006D7849"/>
    <w:rsid w:val="006D7EF9"/>
    <w:rsid w:val="006E01FD"/>
    <w:rsid w:val="006E0368"/>
    <w:rsid w:val="006E07ED"/>
    <w:rsid w:val="006E0BA0"/>
    <w:rsid w:val="006E1913"/>
    <w:rsid w:val="006E1E90"/>
    <w:rsid w:val="006E2500"/>
    <w:rsid w:val="006E29B5"/>
    <w:rsid w:val="006E38F5"/>
    <w:rsid w:val="006E3B7A"/>
    <w:rsid w:val="006E3CDC"/>
    <w:rsid w:val="006E3E1C"/>
    <w:rsid w:val="006E45EB"/>
    <w:rsid w:val="006E4A6C"/>
    <w:rsid w:val="006E5597"/>
    <w:rsid w:val="006E59C5"/>
    <w:rsid w:val="006E5C31"/>
    <w:rsid w:val="006E5FE9"/>
    <w:rsid w:val="006E6AEF"/>
    <w:rsid w:val="006E724B"/>
    <w:rsid w:val="006E7CF5"/>
    <w:rsid w:val="006F0041"/>
    <w:rsid w:val="006F071D"/>
    <w:rsid w:val="006F0C4A"/>
    <w:rsid w:val="006F0FB0"/>
    <w:rsid w:val="006F187E"/>
    <w:rsid w:val="006F1E83"/>
    <w:rsid w:val="006F1F71"/>
    <w:rsid w:val="006F3059"/>
    <w:rsid w:val="006F3060"/>
    <w:rsid w:val="006F32FF"/>
    <w:rsid w:val="006F338D"/>
    <w:rsid w:val="006F3A1A"/>
    <w:rsid w:val="006F3C04"/>
    <w:rsid w:val="006F4266"/>
    <w:rsid w:val="006F4B4F"/>
    <w:rsid w:val="006F510D"/>
    <w:rsid w:val="006F5487"/>
    <w:rsid w:val="006F54E0"/>
    <w:rsid w:val="006F60E4"/>
    <w:rsid w:val="006F64AC"/>
    <w:rsid w:val="006F6763"/>
    <w:rsid w:val="006F6B68"/>
    <w:rsid w:val="006F6B9A"/>
    <w:rsid w:val="006F769A"/>
    <w:rsid w:val="006F78A8"/>
    <w:rsid w:val="006F7E0B"/>
    <w:rsid w:val="007006CD"/>
    <w:rsid w:val="00700704"/>
    <w:rsid w:val="007008F9"/>
    <w:rsid w:val="0070091E"/>
    <w:rsid w:val="00700CD4"/>
    <w:rsid w:val="007010A1"/>
    <w:rsid w:val="007010C9"/>
    <w:rsid w:val="007021D3"/>
    <w:rsid w:val="00703973"/>
    <w:rsid w:val="00703AE8"/>
    <w:rsid w:val="007045D1"/>
    <w:rsid w:val="00704937"/>
    <w:rsid w:val="007059EA"/>
    <w:rsid w:val="00705FCD"/>
    <w:rsid w:val="00706986"/>
    <w:rsid w:val="00706A4A"/>
    <w:rsid w:val="00706C02"/>
    <w:rsid w:val="00706F45"/>
    <w:rsid w:val="00706F52"/>
    <w:rsid w:val="00706FA0"/>
    <w:rsid w:val="00707008"/>
    <w:rsid w:val="00707ECD"/>
    <w:rsid w:val="0071058A"/>
    <w:rsid w:val="00710A51"/>
    <w:rsid w:val="00712045"/>
    <w:rsid w:val="0071248C"/>
    <w:rsid w:val="00712ACC"/>
    <w:rsid w:val="00712CCC"/>
    <w:rsid w:val="00713497"/>
    <w:rsid w:val="007137D0"/>
    <w:rsid w:val="007139C6"/>
    <w:rsid w:val="007144F1"/>
    <w:rsid w:val="00715421"/>
    <w:rsid w:val="00715CE2"/>
    <w:rsid w:val="00715E47"/>
    <w:rsid w:val="00715F6C"/>
    <w:rsid w:val="00716339"/>
    <w:rsid w:val="00716BB5"/>
    <w:rsid w:val="00716DEA"/>
    <w:rsid w:val="0071704B"/>
    <w:rsid w:val="00717141"/>
    <w:rsid w:val="007176A4"/>
    <w:rsid w:val="00717AE9"/>
    <w:rsid w:val="00717CBB"/>
    <w:rsid w:val="007200E2"/>
    <w:rsid w:val="0072052D"/>
    <w:rsid w:val="0072077B"/>
    <w:rsid w:val="00720D92"/>
    <w:rsid w:val="00721033"/>
    <w:rsid w:val="00721C20"/>
    <w:rsid w:val="00721C34"/>
    <w:rsid w:val="007221AF"/>
    <w:rsid w:val="00722330"/>
    <w:rsid w:val="0072260D"/>
    <w:rsid w:val="0072293F"/>
    <w:rsid w:val="00722BA6"/>
    <w:rsid w:val="007230C5"/>
    <w:rsid w:val="00723554"/>
    <w:rsid w:val="00724374"/>
    <w:rsid w:val="00725310"/>
    <w:rsid w:val="007253EB"/>
    <w:rsid w:val="00725419"/>
    <w:rsid w:val="00726382"/>
    <w:rsid w:val="00727321"/>
    <w:rsid w:val="007279DE"/>
    <w:rsid w:val="007306B1"/>
    <w:rsid w:val="00730AA5"/>
    <w:rsid w:val="0073226A"/>
    <w:rsid w:val="007326A1"/>
    <w:rsid w:val="00732B2D"/>
    <w:rsid w:val="00732B34"/>
    <w:rsid w:val="00732FF9"/>
    <w:rsid w:val="007330EF"/>
    <w:rsid w:val="00733371"/>
    <w:rsid w:val="007337DC"/>
    <w:rsid w:val="00733CAF"/>
    <w:rsid w:val="00733FCC"/>
    <w:rsid w:val="00734BD7"/>
    <w:rsid w:val="00734FD8"/>
    <w:rsid w:val="00735599"/>
    <w:rsid w:val="007355C9"/>
    <w:rsid w:val="007355DB"/>
    <w:rsid w:val="007360C5"/>
    <w:rsid w:val="0073678C"/>
    <w:rsid w:val="007368B0"/>
    <w:rsid w:val="007400DE"/>
    <w:rsid w:val="0074099E"/>
    <w:rsid w:val="007409CC"/>
    <w:rsid w:val="00740BA2"/>
    <w:rsid w:val="007410F8"/>
    <w:rsid w:val="007414B1"/>
    <w:rsid w:val="00741C19"/>
    <w:rsid w:val="00741CBE"/>
    <w:rsid w:val="00742C89"/>
    <w:rsid w:val="00742CED"/>
    <w:rsid w:val="0074309D"/>
    <w:rsid w:val="007438BB"/>
    <w:rsid w:val="0074392D"/>
    <w:rsid w:val="00743BFE"/>
    <w:rsid w:val="00744E82"/>
    <w:rsid w:val="00745DE0"/>
    <w:rsid w:val="0074641A"/>
    <w:rsid w:val="007469AF"/>
    <w:rsid w:val="00747667"/>
    <w:rsid w:val="00747925"/>
    <w:rsid w:val="00750127"/>
    <w:rsid w:val="00750341"/>
    <w:rsid w:val="00750558"/>
    <w:rsid w:val="007505C7"/>
    <w:rsid w:val="00750E75"/>
    <w:rsid w:val="007517D1"/>
    <w:rsid w:val="00751CD5"/>
    <w:rsid w:val="00752CAC"/>
    <w:rsid w:val="0075315B"/>
    <w:rsid w:val="007531C2"/>
    <w:rsid w:val="00753347"/>
    <w:rsid w:val="00754583"/>
    <w:rsid w:val="007546DE"/>
    <w:rsid w:val="0075541D"/>
    <w:rsid w:val="00755C1C"/>
    <w:rsid w:val="0075671E"/>
    <w:rsid w:val="00756C43"/>
    <w:rsid w:val="00756E6D"/>
    <w:rsid w:val="007576E7"/>
    <w:rsid w:val="007579DF"/>
    <w:rsid w:val="00760175"/>
    <w:rsid w:val="007609DD"/>
    <w:rsid w:val="00760F15"/>
    <w:rsid w:val="007614AC"/>
    <w:rsid w:val="00761D10"/>
    <w:rsid w:val="007640D8"/>
    <w:rsid w:val="00764252"/>
    <w:rsid w:val="00764888"/>
    <w:rsid w:val="0076495B"/>
    <w:rsid w:val="007650D0"/>
    <w:rsid w:val="00765A4C"/>
    <w:rsid w:val="007660EB"/>
    <w:rsid w:val="00766327"/>
    <w:rsid w:val="00767635"/>
    <w:rsid w:val="007677EB"/>
    <w:rsid w:val="00767882"/>
    <w:rsid w:val="00767A0C"/>
    <w:rsid w:val="00767A51"/>
    <w:rsid w:val="00770BF8"/>
    <w:rsid w:val="00770E51"/>
    <w:rsid w:val="00771190"/>
    <w:rsid w:val="00771CBF"/>
    <w:rsid w:val="00771F92"/>
    <w:rsid w:val="007725BE"/>
    <w:rsid w:val="007737DF"/>
    <w:rsid w:val="007743D2"/>
    <w:rsid w:val="00774453"/>
    <w:rsid w:val="007745D3"/>
    <w:rsid w:val="00774AE4"/>
    <w:rsid w:val="00774DA5"/>
    <w:rsid w:val="0077586B"/>
    <w:rsid w:val="00775ACC"/>
    <w:rsid w:val="00775E50"/>
    <w:rsid w:val="00775EE9"/>
    <w:rsid w:val="0077618C"/>
    <w:rsid w:val="00776262"/>
    <w:rsid w:val="007764E4"/>
    <w:rsid w:val="007765F9"/>
    <w:rsid w:val="0077678E"/>
    <w:rsid w:val="007767EE"/>
    <w:rsid w:val="00776C99"/>
    <w:rsid w:val="00777CEE"/>
    <w:rsid w:val="00780F43"/>
    <w:rsid w:val="00780FB5"/>
    <w:rsid w:val="00781270"/>
    <w:rsid w:val="00781824"/>
    <w:rsid w:val="0078232D"/>
    <w:rsid w:val="0078259F"/>
    <w:rsid w:val="00783CCC"/>
    <w:rsid w:val="007841EA"/>
    <w:rsid w:val="0078474F"/>
    <w:rsid w:val="007852BE"/>
    <w:rsid w:val="00785671"/>
    <w:rsid w:val="007858C2"/>
    <w:rsid w:val="007858D2"/>
    <w:rsid w:val="0078590B"/>
    <w:rsid w:val="00785DFA"/>
    <w:rsid w:val="00785FA7"/>
    <w:rsid w:val="00786E1A"/>
    <w:rsid w:val="007870AC"/>
    <w:rsid w:val="00787398"/>
    <w:rsid w:val="007875F4"/>
    <w:rsid w:val="00787E3A"/>
    <w:rsid w:val="00787F5D"/>
    <w:rsid w:val="0079016E"/>
    <w:rsid w:val="007903CE"/>
    <w:rsid w:val="007907A5"/>
    <w:rsid w:val="00790884"/>
    <w:rsid w:val="00790E9E"/>
    <w:rsid w:val="00791C1C"/>
    <w:rsid w:val="00791E2F"/>
    <w:rsid w:val="0079215A"/>
    <w:rsid w:val="0079222F"/>
    <w:rsid w:val="00792930"/>
    <w:rsid w:val="00792E4C"/>
    <w:rsid w:val="0079461D"/>
    <w:rsid w:val="00794858"/>
    <w:rsid w:val="00794AB0"/>
    <w:rsid w:val="00794AFC"/>
    <w:rsid w:val="00795692"/>
    <w:rsid w:val="007956F8"/>
    <w:rsid w:val="007956FF"/>
    <w:rsid w:val="00795D59"/>
    <w:rsid w:val="00795E0F"/>
    <w:rsid w:val="007961BC"/>
    <w:rsid w:val="0079683F"/>
    <w:rsid w:val="00796A4F"/>
    <w:rsid w:val="00796C8F"/>
    <w:rsid w:val="00796E1F"/>
    <w:rsid w:val="00796E6D"/>
    <w:rsid w:val="00797165"/>
    <w:rsid w:val="00797BC2"/>
    <w:rsid w:val="007A0029"/>
    <w:rsid w:val="007A0613"/>
    <w:rsid w:val="007A07CD"/>
    <w:rsid w:val="007A0B9D"/>
    <w:rsid w:val="007A111C"/>
    <w:rsid w:val="007A1178"/>
    <w:rsid w:val="007A130A"/>
    <w:rsid w:val="007A1798"/>
    <w:rsid w:val="007A1981"/>
    <w:rsid w:val="007A1CC1"/>
    <w:rsid w:val="007A2194"/>
    <w:rsid w:val="007A296C"/>
    <w:rsid w:val="007A29DE"/>
    <w:rsid w:val="007A323A"/>
    <w:rsid w:val="007A3949"/>
    <w:rsid w:val="007A3B38"/>
    <w:rsid w:val="007A3D80"/>
    <w:rsid w:val="007A3FA1"/>
    <w:rsid w:val="007A4086"/>
    <w:rsid w:val="007A40BE"/>
    <w:rsid w:val="007A466E"/>
    <w:rsid w:val="007A47E0"/>
    <w:rsid w:val="007A4D1D"/>
    <w:rsid w:val="007A4D23"/>
    <w:rsid w:val="007A5A9C"/>
    <w:rsid w:val="007A627F"/>
    <w:rsid w:val="007A6618"/>
    <w:rsid w:val="007A6976"/>
    <w:rsid w:val="007A69F6"/>
    <w:rsid w:val="007A6E57"/>
    <w:rsid w:val="007A6F38"/>
    <w:rsid w:val="007A7296"/>
    <w:rsid w:val="007B0415"/>
    <w:rsid w:val="007B0ADD"/>
    <w:rsid w:val="007B177C"/>
    <w:rsid w:val="007B26B8"/>
    <w:rsid w:val="007B2B81"/>
    <w:rsid w:val="007B31C9"/>
    <w:rsid w:val="007B328A"/>
    <w:rsid w:val="007B3321"/>
    <w:rsid w:val="007B37F0"/>
    <w:rsid w:val="007B4700"/>
    <w:rsid w:val="007B4970"/>
    <w:rsid w:val="007B4B57"/>
    <w:rsid w:val="007B4FB7"/>
    <w:rsid w:val="007B5679"/>
    <w:rsid w:val="007B5D77"/>
    <w:rsid w:val="007B610D"/>
    <w:rsid w:val="007B6F27"/>
    <w:rsid w:val="007B73ED"/>
    <w:rsid w:val="007B74E1"/>
    <w:rsid w:val="007B7722"/>
    <w:rsid w:val="007B7AC6"/>
    <w:rsid w:val="007B7E80"/>
    <w:rsid w:val="007C0097"/>
    <w:rsid w:val="007C048E"/>
    <w:rsid w:val="007C0594"/>
    <w:rsid w:val="007C07B3"/>
    <w:rsid w:val="007C1153"/>
    <w:rsid w:val="007C1BE5"/>
    <w:rsid w:val="007C1F15"/>
    <w:rsid w:val="007C24A5"/>
    <w:rsid w:val="007C28D3"/>
    <w:rsid w:val="007C2E88"/>
    <w:rsid w:val="007C31B4"/>
    <w:rsid w:val="007C3DEC"/>
    <w:rsid w:val="007C3E58"/>
    <w:rsid w:val="007C40AF"/>
    <w:rsid w:val="007C41D8"/>
    <w:rsid w:val="007C4231"/>
    <w:rsid w:val="007C42BA"/>
    <w:rsid w:val="007C473D"/>
    <w:rsid w:val="007C4FBE"/>
    <w:rsid w:val="007C5091"/>
    <w:rsid w:val="007C51E1"/>
    <w:rsid w:val="007C5C31"/>
    <w:rsid w:val="007C6A45"/>
    <w:rsid w:val="007C729C"/>
    <w:rsid w:val="007C7503"/>
    <w:rsid w:val="007C7B2B"/>
    <w:rsid w:val="007C7C3C"/>
    <w:rsid w:val="007C7CFC"/>
    <w:rsid w:val="007D035D"/>
    <w:rsid w:val="007D0DDA"/>
    <w:rsid w:val="007D0F54"/>
    <w:rsid w:val="007D1FAE"/>
    <w:rsid w:val="007D2490"/>
    <w:rsid w:val="007D2DBF"/>
    <w:rsid w:val="007D2E85"/>
    <w:rsid w:val="007D3547"/>
    <w:rsid w:val="007D3B9A"/>
    <w:rsid w:val="007D44DD"/>
    <w:rsid w:val="007D47A6"/>
    <w:rsid w:val="007D4D22"/>
    <w:rsid w:val="007D5217"/>
    <w:rsid w:val="007D560A"/>
    <w:rsid w:val="007D58CD"/>
    <w:rsid w:val="007D5905"/>
    <w:rsid w:val="007D5A12"/>
    <w:rsid w:val="007D5BF7"/>
    <w:rsid w:val="007D62B0"/>
    <w:rsid w:val="007D636D"/>
    <w:rsid w:val="007D736D"/>
    <w:rsid w:val="007E0315"/>
    <w:rsid w:val="007E17CE"/>
    <w:rsid w:val="007E19A6"/>
    <w:rsid w:val="007E1BE7"/>
    <w:rsid w:val="007E3304"/>
    <w:rsid w:val="007E3375"/>
    <w:rsid w:val="007E3B4F"/>
    <w:rsid w:val="007E3D74"/>
    <w:rsid w:val="007E4494"/>
    <w:rsid w:val="007E47C3"/>
    <w:rsid w:val="007E4E45"/>
    <w:rsid w:val="007E52B8"/>
    <w:rsid w:val="007E54CE"/>
    <w:rsid w:val="007E596E"/>
    <w:rsid w:val="007E61A8"/>
    <w:rsid w:val="007E634A"/>
    <w:rsid w:val="007E6B3B"/>
    <w:rsid w:val="007E7E05"/>
    <w:rsid w:val="007E7E93"/>
    <w:rsid w:val="007F0385"/>
    <w:rsid w:val="007F04FC"/>
    <w:rsid w:val="007F0F39"/>
    <w:rsid w:val="007F1339"/>
    <w:rsid w:val="007F1366"/>
    <w:rsid w:val="007F1A22"/>
    <w:rsid w:val="007F1EB0"/>
    <w:rsid w:val="007F225D"/>
    <w:rsid w:val="007F2524"/>
    <w:rsid w:val="007F2EA7"/>
    <w:rsid w:val="007F48DF"/>
    <w:rsid w:val="007F4F90"/>
    <w:rsid w:val="007F4FAB"/>
    <w:rsid w:val="007F5C56"/>
    <w:rsid w:val="007F5D6F"/>
    <w:rsid w:val="007F5EBD"/>
    <w:rsid w:val="007F5F6F"/>
    <w:rsid w:val="007F6386"/>
    <w:rsid w:val="007F708C"/>
    <w:rsid w:val="007F7164"/>
    <w:rsid w:val="007F79B7"/>
    <w:rsid w:val="007F7C30"/>
    <w:rsid w:val="007F7EB3"/>
    <w:rsid w:val="008001B4"/>
    <w:rsid w:val="00800CE0"/>
    <w:rsid w:val="00800D19"/>
    <w:rsid w:val="00800EFB"/>
    <w:rsid w:val="00801F6C"/>
    <w:rsid w:val="00802056"/>
    <w:rsid w:val="008022FA"/>
    <w:rsid w:val="00802754"/>
    <w:rsid w:val="00803CF0"/>
    <w:rsid w:val="00804473"/>
    <w:rsid w:val="008044CF"/>
    <w:rsid w:val="00804712"/>
    <w:rsid w:val="00804806"/>
    <w:rsid w:val="00804828"/>
    <w:rsid w:val="00804BD8"/>
    <w:rsid w:val="00804EAB"/>
    <w:rsid w:val="00805335"/>
    <w:rsid w:val="008057E4"/>
    <w:rsid w:val="00805E1D"/>
    <w:rsid w:val="008076B1"/>
    <w:rsid w:val="00807A1E"/>
    <w:rsid w:val="008100CC"/>
    <w:rsid w:val="00810D9F"/>
    <w:rsid w:val="00810FBA"/>
    <w:rsid w:val="00811888"/>
    <w:rsid w:val="00811F34"/>
    <w:rsid w:val="00812301"/>
    <w:rsid w:val="00812971"/>
    <w:rsid w:val="008129C8"/>
    <w:rsid w:val="00812A7D"/>
    <w:rsid w:val="008130D3"/>
    <w:rsid w:val="008134AA"/>
    <w:rsid w:val="00813C65"/>
    <w:rsid w:val="00813F38"/>
    <w:rsid w:val="008144D8"/>
    <w:rsid w:val="008145B3"/>
    <w:rsid w:val="00814BE3"/>
    <w:rsid w:val="0081531A"/>
    <w:rsid w:val="008156F3"/>
    <w:rsid w:val="00815A7C"/>
    <w:rsid w:val="00815BD5"/>
    <w:rsid w:val="0081657A"/>
    <w:rsid w:val="0081698A"/>
    <w:rsid w:val="00816AE2"/>
    <w:rsid w:val="00816E15"/>
    <w:rsid w:val="00816E7A"/>
    <w:rsid w:val="00820107"/>
    <w:rsid w:val="008201CE"/>
    <w:rsid w:val="0082031D"/>
    <w:rsid w:val="00820707"/>
    <w:rsid w:val="008208C3"/>
    <w:rsid w:val="00820913"/>
    <w:rsid w:val="00820F1E"/>
    <w:rsid w:val="00821084"/>
    <w:rsid w:val="008211DC"/>
    <w:rsid w:val="008213C1"/>
    <w:rsid w:val="008214AE"/>
    <w:rsid w:val="00821C07"/>
    <w:rsid w:val="0082227E"/>
    <w:rsid w:val="00823037"/>
    <w:rsid w:val="008234F5"/>
    <w:rsid w:val="00823697"/>
    <w:rsid w:val="00823A62"/>
    <w:rsid w:val="00823F45"/>
    <w:rsid w:val="0082472B"/>
    <w:rsid w:val="00826118"/>
    <w:rsid w:val="00826AFF"/>
    <w:rsid w:val="00827358"/>
    <w:rsid w:val="00827538"/>
    <w:rsid w:val="00827637"/>
    <w:rsid w:val="00827A4A"/>
    <w:rsid w:val="00827BED"/>
    <w:rsid w:val="00827D13"/>
    <w:rsid w:val="00827D1A"/>
    <w:rsid w:val="00830173"/>
    <w:rsid w:val="00830670"/>
    <w:rsid w:val="008307F1"/>
    <w:rsid w:val="008308CA"/>
    <w:rsid w:val="008316AA"/>
    <w:rsid w:val="008318ED"/>
    <w:rsid w:val="00831E94"/>
    <w:rsid w:val="008325F5"/>
    <w:rsid w:val="00832868"/>
    <w:rsid w:val="00832EA6"/>
    <w:rsid w:val="00833569"/>
    <w:rsid w:val="0083478D"/>
    <w:rsid w:val="00834B33"/>
    <w:rsid w:val="00834B58"/>
    <w:rsid w:val="00834E5D"/>
    <w:rsid w:val="00834EEE"/>
    <w:rsid w:val="0083552B"/>
    <w:rsid w:val="00836CB2"/>
    <w:rsid w:val="00836FF5"/>
    <w:rsid w:val="0083735B"/>
    <w:rsid w:val="008376F7"/>
    <w:rsid w:val="00837BBA"/>
    <w:rsid w:val="00837F2D"/>
    <w:rsid w:val="00840D3B"/>
    <w:rsid w:val="00840E65"/>
    <w:rsid w:val="008432CB"/>
    <w:rsid w:val="008446A6"/>
    <w:rsid w:val="00845A58"/>
    <w:rsid w:val="00845F6E"/>
    <w:rsid w:val="00845FB6"/>
    <w:rsid w:val="00846023"/>
    <w:rsid w:val="00846611"/>
    <w:rsid w:val="008468A0"/>
    <w:rsid w:val="00846EC9"/>
    <w:rsid w:val="00847517"/>
    <w:rsid w:val="00847CC2"/>
    <w:rsid w:val="00847EA1"/>
    <w:rsid w:val="0085165B"/>
    <w:rsid w:val="00851FE6"/>
    <w:rsid w:val="008523BF"/>
    <w:rsid w:val="0085299B"/>
    <w:rsid w:val="00852B6E"/>
    <w:rsid w:val="00852EA8"/>
    <w:rsid w:val="00852EE2"/>
    <w:rsid w:val="00853A33"/>
    <w:rsid w:val="00853C5F"/>
    <w:rsid w:val="00853DC2"/>
    <w:rsid w:val="008545E5"/>
    <w:rsid w:val="008546C6"/>
    <w:rsid w:val="00855218"/>
    <w:rsid w:val="008552E0"/>
    <w:rsid w:val="0085569B"/>
    <w:rsid w:val="008556D3"/>
    <w:rsid w:val="008567D5"/>
    <w:rsid w:val="00856BDE"/>
    <w:rsid w:val="00857448"/>
    <w:rsid w:val="00857505"/>
    <w:rsid w:val="0086004C"/>
    <w:rsid w:val="00860557"/>
    <w:rsid w:val="00860D33"/>
    <w:rsid w:val="008612FB"/>
    <w:rsid w:val="00861A0B"/>
    <w:rsid w:val="0086220E"/>
    <w:rsid w:val="00862458"/>
    <w:rsid w:val="00862A75"/>
    <w:rsid w:val="008630CC"/>
    <w:rsid w:val="008631A1"/>
    <w:rsid w:val="0086380C"/>
    <w:rsid w:val="00864199"/>
    <w:rsid w:val="0086433F"/>
    <w:rsid w:val="008643C6"/>
    <w:rsid w:val="0086451C"/>
    <w:rsid w:val="00864E0F"/>
    <w:rsid w:val="0086505A"/>
    <w:rsid w:val="00865162"/>
    <w:rsid w:val="00865ADA"/>
    <w:rsid w:val="008669A0"/>
    <w:rsid w:val="00866A98"/>
    <w:rsid w:val="00866A9B"/>
    <w:rsid w:val="00866B25"/>
    <w:rsid w:val="00866D7A"/>
    <w:rsid w:val="00867542"/>
    <w:rsid w:val="008676B6"/>
    <w:rsid w:val="008677DE"/>
    <w:rsid w:val="008679F7"/>
    <w:rsid w:val="00867C35"/>
    <w:rsid w:val="00867E0A"/>
    <w:rsid w:val="00867E7B"/>
    <w:rsid w:val="00867ECA"/>
    <w:rsid w:val="0087049B"/>
    <w:rsid w:val="00870D24"/>
    <w:rsid w:val="00871757"/>
    <w:rsid w:val="008717D4"/>
    <w:rsid w:val="00872060"/>
    <w:rsid w:val="00872412"/>
    <w:rsid w:val="008724FD"/>
    <w:rsid w:val="00872741"/>
    <w:rsid w:val="00872745"/>
    <w:rsid w:val="00872F31"/>
    <w:rsid w:val="008730B8"/>
    <w:rsid w:val="00873337"/>
    <w:rsid w:val="00873844"/>
    <w:rsid w:val="0087458F"/>
    <w:rsid w:val="00874E0D"/>
    <w:rsid w:val="00874F65"/>
    <w:rsid w:val="00875BA4"/>
    <w:rsid w:val="00875E05"/>
    <w:rsid w:val="00876511"/>
    <w:rsid w:val="008765BB"/>
    <w:rsid w:val="00876982"/>
    <w:rsid w:val="00876E23"/>
    <w:rsid w:val="008772EB"/>
    <w:rsid w:val="0087730E"/>
    <w:rsid w:val="008773BE"/>
    <w:rsid w:val="00877474"/>
    <w:rsid w:val="00877A72"/>
    <w:rsid w:val="00877C2E"/>
    <w:rsid w:val="00877ED1"/>
    <w:rsid w:val="00880431"/>
    <w:rsid w:val="00881210"/>
    <w:rsid w:val="008813A7"/>
    <w:rsid w:val="0088160A"/>
    <w:rsid w:val="00881AB7"/>
    <w:rsid w:val="00881BD2"/>
    <w:rsid w:val="00881BDE"/>
    <w:rsid w:val="00882270"/>
    <w:rsid w:val="00882934"/>
    <w:rsid w:val="00882DAA"/>
    <w:rsid w:val="0088381C"/>
    <w:rsid w:val="00883C79"/>
    <w:rsid w:val="0088441D"/>
    <w:rsid w:val="008848E8"/>
    <w:rsid w:val="0088538F"/>
    <w:rsid w:val="008854A3"/>
    <w:rsid w:val="008857AE"/>
    <w:rsid w:val="008861B7"/>
    <w:rsid w:val="00886348"/>
    <w:rsid w:val="00887F8A"/>
    <w:rsid w:val="008904EA"/>
    <w:rsid w:val="00890A9C"/>
    <w:rsid w:val="00890C31"/>
    <w:rsid w:val="00890EBA"/>
    <w:rsid w:val="008912F6"/>
    <w:rsid w:val="0089289E"/>
    <w:rsid w:val="00893061"/>
    <w:rsid w:val="0089331E"/>
    <w:rsid w:val="00893CBB"/>
    <w:rsid w:val="008947D4"/>
    <w:rsid w:val="00894E11"/>
    <w:rsid w:val="0089507B"/>
    <w:rsid w:val="008954AC"/>
    <w:rsid w:val="008955BF"/>
    <w:rsid w:val="00895672"/>
    <w:rsid w:val="008957E6"/>
    <w:rsid w:val="008958ED"/>
    <w:rsid w:val="008962D3"/>
    <w:rsid w:val="008963A9"/>
    <w:rsid w:val="00896ECD"/>
    <w:rsid w:val="008A064C"/>
    <w:rsid w:val="008A0D88"/>
    <w:rsid w:val="008A106A"/>
    <w:rsid w:val="008A1B88"/>
    <w:rsid w:val="008A1E28"/>
    <w:rsid w:val="008A1E3A"/>
    <w:rsid w:val="008A2D23"/>
    <w:rsid w:val="008A2E11"/>
    <w:rsid w:val="008A374A"/>
    <w:rsid w:val="008A39A8"/>
    <w:rsid w:val="008A4D06"/>
    <w:rsid w:val="008A4F94"/>
    <w:rsid w:val="008A5048"/>
    <w:rsid w:val="008A51DB"/>
    <w:rsid w:val="008A5250"/>
    <w:rsid w:val="008A5571"/>
    <w:rsid w:val="008A5A01"/>
    <w:rsid w:val="008A5DC5"/>
    <w:rsid w:val="008A6062"/>
    <w:rsid w:val="008A6675"/>
    <w:rsid w:val="008A6FB9"/>
    <w:rsid w:val="008A7330"/>
    <w:rsid w:val="008A775F"/>
    <w:rsid w:val="008A7D6E"/>
    <w:rsid w:val="008B0145"/>
    <w:rsid w:val="008B08C2"/>
    <w:rsid w:val="008B1A3E"/>
    <w:rsid w:val="008B1B83"/>
    <w:rsid w:val="008B2339"/>
    <w:rsid w:val="008B2469"/>
    <w:rsid w:val="008B3103"/>
    <w:rsid w:val="008B3648"/>
    <w:rsid w:val="008B36C2"/>
    <w:rsid w:val="008B4063"/>
    <w:rsid w:val="008B430A"/>
    <w:rsid w:val="008B441A"/>
    <w:rsid w:val="008B4D15"/>
    <w:rsid w:val="008B5A1E"/>
    <w:rsid w:val="008B5DD7"/>
    <w:rsid w:val="008B60D1"/>
    <w:rsid w:val="008B640F"/>
    <w:rsid w:val="008B6561"/>
    <w:rsid w:val="008B6673"/>
    <w:rsid w:val="008B6747"/>
    <w:rsid w:val="008B6770"/>
    <w:rsid w:val="008B6D02"/>
    <w:rsid w:val="008B703B"/>
    <w:rsid w:val="008B7818"/>
    <w:rsid w:val="008B7912"/>
    <w:rsid w:val="008B792C"/>
    <w:rsid w:val="008B7BA9"/>
    <w:rsid w:val="008B7D49"/>
    <w:rsid w:val="008C08D9"/>
    <w:rsid w:val="008C0918"/>
    <w:rsid w:val="008C1E41"/>
    <w:rsid w:val="008C2020"/>
    <w:rsid w:val="008C2305"/>
    <w:rsid w:val="008C3D8C"/>
    <w:rsid w:val="008C4268"/>
    <w:rsid w:val="008C7638"/>
    <w:rsid w:val="008C7EA6"/>
    <w:rsid w:val="008D058D"/>
    <w:rsid w:val="008D0AD2"/>
    <w:rsid w:val="008D1800"/>
    <w:rsid w:val="008D1873"/>
    <w:rsid w:val="008D19CC"/>
    <w:rsid w:val="008D26E4"/>
    <w:rsid w:val="008D3200"/>
    <w:rsid w:val="008D3894"/>
    <w:rsid w:val="008D4FAA"/>
    <w:rsid w:val="008D5345"/>
    <w:rsid w:val="008D544F"/>
    <w:rsid w:val="008D54BE"/>
    <w:rsid w:val="008D5524"/>
    <w:rsid w:val="008D5AB5"/>
    <w:rsid w:val="008D5F9D"/>
    <w:rsid w:val="008D60F4"/>
    <w:rsid w:val="008D63C6"/>
    <w:rsid w:val="008D64C6"/>
    <w:rsid w:val="008D668E"/>
    <w:rsid w:val="008D69E2"/>
    <w:rsid w:val="008D6FEE"/>
    <w:rsid w:val="008D725A"/>
    <w:rsid w:val="008D7CA1"/>
    <w:rsid w:val="008D7D8B"/>
    <w:rsid w:val="008D7DAC"/>
    <w:rsid w:val="008E0910"/>
    <w:rsid w:val="008E09E3"/>
    <w:rsid w:val="008E0F3B"/>
    <w:rsid w:val="008E1767"/>
    <w:rsid w:val="008E185F"/>
    <w:rsid w:val="008E26AC"/>
    <w:rsid w:val="008E2707"/>
    <w:rsid w:val="008E2926"/>
    <w:rsid w:val="008E2EF4"/>
    <w:rsid w:val="008E3909"/>
    <w:rsid w:val="008E439E"/>
    <w:rsid w:val="008E4ED3"/>
    <w:rsid w:val="008E4F2F"/>
    <w:rsid w:val="008E50E1"/>
    <w:rsid w:val="008E57FC"/>
    <w:rsid w:val="008E5810"/>
    <w:rsid w:val="008E593D"/>
    <w:rsid w:val="008E599F"/>
    <w:rsid w:val="008E717C"/>
    <w:rsid w:val="008E71A5"/>
    <w:rsid w:val="008E780B"/>
    <w:rsid w:val="008E7CC3"/>
    <w:rsid w:val="008E7D1A"/>
    <w:rsid w:val="008F0045"/>
    <w:rsid w:val="008F009C"/>
    <w:rsid w:val="008F06D5"/>
    <w:rsid w:val="008F0841"/>
    <w:rsid w:val="008F0C9D"/>
    <w:rsid w:val="008F11D2"/>
    <w:rsid w:val="008F1953"/>
    <w:rsid w:val="008F1A03"/>
    <w:rsid w:val="008F2087"/>
    <w:rsid w:val="008F20A4"/>
    <w:rsid w:val="008F29CA"/>
    <w:rsid w:val="008F3DF0"/>
    <w:rsid w:val="008F3E4C"/>
    <w:rsid w:val="008F450B"/>
    <w:rsid w:val="008F4E4D"/>
    <w:rsid w:val="008F5222"/>
    <w:rsid w:val="008F5330"/>
    <w:rsid w:val="008F5549"/>
    <w:rsid w:val="008F5B81"/>
    <w:rsid w:val="008F663B"/>
    <w:rsid w:val="008F7ABE"/>
    <w:rsid w:val="008F7AD6"/>
    <w:rsid w:val="009005EE"/>
    <w:rsid w:val="0090073B"/>
    <w:rsid w:val="009008D6"/>
    <w:rsid w:val="00900BC5"/>
    <w:rsid w:val="00900C6E"/>
    <w:rsid w:val="009011B0"/>
    <w:rsid w:val="00901484"/>
    <w:rsid w:val="009014D3"/>
    <w:rsid w:val="00901719"/>
    <w:rsid w:val="0090179F"/>
    <w:rsid w:val="009019EA"/>
    <w:rsid w:val="00901A26"/>
    <w:rsid w:val="00901E8B"/>
    <w:rsid w:val="00902417"/>
    <w:rsid w:val="009024D6"/>
    <w:rsid w:val="009026BC"/>
    <w:rsid w:val="00902F9E"/>
    <w:rsid w:val="009051D0"/>
    <w:rsid w:val="00905366"/>
    <w:rsid w:val="0090592A"/>
    <w:rsid w:val="00905ECC"/>
    <w:rsid w:val="009066D7"/>
    <w:rsid w:val="009067DD"/>
    <w:rsid w:val="00906B42"/>
    <w:rsid w:val="0091071A"/>
    <w:rsid w:val="00911311"/>
    <w:rsid w:val="00911AB8"/>
    <w:rsid w:val="009120A9"/>
    <w:rsid w:val="009122C3"/>
    <w:rsid w:val="00912F1B"/>
    <w:rsid w:val="00913228"/>
    <w:rsid w:val="0091356B"/>
    <w:rsid w:val="0091364A"/>
    <w:rsid w:val="00913EF0"/>
    <w:rsid w:val="00914628"/>
    <w:rsid w:val="009148AC"/>
    <w:rsid w:val="00914D96"/>
    <w:rsid w:val="00915685"/>
    <w:rsid w:val="00915793"/>
    <w:rsid w:val="00915E18"/>
    <w:rsid w:val="0091630D"/>
    <w:rsid w:val="00916B4E"/>
    <w:rsid w:val="00916CBF"/>
    <w:rsid w:val="0091715B"/>
    <w:rsid w:val="0091769F"/>
    <w:rsid w:val="00917C87"/>
    <w:rsid w:val="00917CCB"/>
    <w:rsid w:val="00917F32"/>
    <w:rsid w:val="009209DE"/>
    <w:rsid w:val="00920C0F"/>
    <w:rsid w:val="00920C13"/>
    <w:rsid w:val="00920C38"/>
    <w:rsid w:val="00920DF5"/>
    <w:rsid w:val="0092148B"/>
    <w:rsid w:val="009221E9"/>
    <w:rsid w:val="00922242"/>
    <w:rsid w:val="009229CF"/>
    <w:rsid w:val="0092332E"/>
    <w:rsid w:val="009249AB"/>
    <w:rsid w:val="00925049"/>
    <w:rsid w:val="009255D4"/>
    <w:rsid w:val="009267E4"/>
    <w:rsid w:val="00926A27"/>
    <w:rsid w:val="009270C6"/>
    <w:rsid w:val="00927880"/>
    <w:rsid w:val="009279CC"/>
    <w:rsid w:val="009279FC"/>
    <w:rsid w:val="00930367"/>
    <w:rsid w:val="00930A86"/>
    <w:rsid w:val="00930E52"/>
    <w:rsid w:val="0093151E"/>
    <w:rsid w:val="009327A5"/>
    <w:rsid w:val="00932D34"/>
    <w:rsid w:val="00932DA0"/>
    <w:rsid w:val="00932E0A"/>
    <w:rsid w:val="00933291"/>
    <w:rsid w:val="00933334"/>
    <w:rsid w:val="00933B92"/>
    <w:rsid w:val="00933F5C"/>
    <w:rsid w:val="00934299"/>
    <w:rsid w:val="00934D08"/>
    <w:rsid w:val="00935579"/>
    <w:rsid w:val="00935920"/>
    <w:rsid w:val="00935FFB"/>
    <w:rsid w:val="00936684"/>
    <w:rsid w:val="009367C6"/>
    <w:rsid w:val="00937A1E"/>
    <w:rsid w:val="00937A37"/>
    <w:rsid w:val="0094039B"/>
    <w:rsid w:val="009406EF"/>
    <w:rsid w:val="00940ADD"/>
    <w:rsid w:val="00940CD7"/>
    <w:rsid w:val="0094148A"/>
    <w:rsid w:val="00944001"/>
    <w:rsid w:val="0094400E"/>
    <w:rsid w:val="009443DE"/>
    <w:rsid w:val="00944CEB"/>
    <w:rsid w:val="00944EAF"/>
    <w:rsid w:val="0094520F"/>
    <w:rsid w:val="00945B91"/>
    <w:rsid w:val="00945C8F"/>
    <w:rsid w:val="00945FB9"/>
    <w:rsid w:val="00946061"/>
    <w:rsid w:val="00946A47"/>
    <w:rsid w:val="009476D0"/>
    <w:rsid w:val="009501A1"/>
    <w:rsid w:val="00950DFC"/>
    <w:rsid w:val="00950FC7"/>
    <w:rsid w:val="0095150D"/>
    <w:rsid w:val="00951D21"/>
    <w:rsid w:val="0095274A"/>
    <w:rsid w:val="009527E2"/>
    <w:rsid w:val="00952D87"/>
    <w:rsid w:val="00952FD6"/>
    <w:rsid w:val="0095395F"/>
    <w:rsid w:val="00954253"/>
    <w:rsid w:val="0095443C"/>
    <w:rsid w:val="00955280"/>
    <w:rsid w:val="00955381"/>
    <w:rsid w:val="00955868"/>
    <w:rsid w:val="00955CB1"/>
    <w:rsid w:val="00956378"/>
    <w:rsid w:val="0095696D"/>
    <w:rsid w:val="00956C1D"/>
    <w:rsid w:val="009571FC"/>
    <w:rsid w:val="009578C9"/>
    <w:rsid w:val="009606DF"/>
    <w:rsid w:val="00961516"/>
    <w:rsid w:val="0096154F"/>
    <w:rsid w:val="009619A4"/>
    <w:rsid w:val="00961A9B"/>
    <w:rsid w:val="00961B87"/>
    <w:rsid w:val="00961EDB"/>
    <w:rsid w:val="00962ADF"/>
    <w:rsid w:val="0096466D"/>
    <w:rsid w:val="0096499A"/>
    <w:rsid w:val="009649A0"/>
    <w:rsid w:val="00964BD1"/>
    <w:rsid w:val="00964E38"/>
    <w:rsid w:val="00964FF7"/>
    <w:rsid w:val="00965575"/>
    <w:rsid w:val="00965BC9"/>
    <w:rsid w:val="0096607D"/>
    <w:rsid w:val="009666CD"/>
    <w:rsid w:val="009666F0"/>
    <w:rsid w:val="00966CAC"/>
    <w:rsid w:val="00967301"/>
    <w:rsid w:val="00970053"/>
    <w:rsid w:val="0097050F"/>
    <w:rsid w:val="00970824"/>
    <w:rsid w:val="00971854"/>
    <w:rsid w:val="009719F9"/>
    <w:rsid w:val="0097208A"/>
    <w:rsid w:val="009727E6"/>
    <w:rsid w:val="00972A37"/>
    <w:rsid w:val="00972FA1"/>
    <w:rsid w:val="0097322E"/>
    <w:rsid w:val="009752BE"/>
    <w:rsid w:val="0097639D"/>
    <w:rsid w:val="00976FBC"/>
    <w:rsid w:val="00977263"/>
    <w:rsid w:val="00977559"/>
    <w:rsid w:val="00977654"/>
    <w:rsid w:val="0097795A"/>
    <w:rsid w:val="00977F87"/>
    <w:rsid w:val="00980675"/>
    <w:rsid w:val="00981491"/>
    <w:rsid w:val="0098153D"/>
    <w:rsid w:val="00981A02"/>
    <w:rsid w:val="00981D58"/>
    <w:rsid w:val="00981EF1"/>
    <w:rsid w:val="0098212D"/>
    <w:rsid w:val="00982C17"/>
    <w:rsid w:val="0098379D"/>
    <w:rsid w:val="009839B1"/>
    <w:rsid w:val="00983D81"/>
    <w:rsid w:val="00983FC1"/>
    <w:rsid w:val="009845AC"/>
    <w:rsid w:val="0098495D"/>
    <w:rsid w:val="00984A1D"/>
    <w:rsid w:val="00984B4E"/>
    <w:rsid w:val="00985367"/>
    <w:rsid w:val="009855F5"/>
    <w:rsid w:val="00985685"/>
    <w:rsid w:val="00985C8D"/>
    <w:rsid w:val="00985DEE"/>
    <w:rsid w:val="00985E4E"/>
    <w:rsid w:val="009863A8"/>
    <w:rsid w:val="00986B29"/>
    <w:rsid w:val="0098715A"/>
    <w:rsid w:val="00987693"/>
    <w:rsid w:val="009877C8"/>
    <w:rsid w:val="009879CB"/>
    <w:rsid w:val="00987AB1"/>
    <w:rsid w:val="00987DEB"/>
    <w:rsid w:val="009900B9"/>
    <w:rsid w:val="009900C5"/>
    <w:rsid w:val="00990A2A"/>
    <w:rsid w:val="00990AEF"/>
    <w:rsid w:val="009912A7"/>
    <w:rsid w:val="00993511"/>
    <w:rsid w:val="00993DD3"/>
    <w:rsid w:val="00993F68"/>
    <w:rsid w:val="009944AC"/>
    <w:rsid w:val="00994743"/>
    <w:rsid w:val="00996322"/>
    <w:rsid w:val="00996C7E"/>
    <w:rsid w:val="00997666"/>
    <w:rsid w:val="009A16B6"/>
    <w:rsid w:val="009A19BB"/>
    <w:rsid w:val="009A27DD"/>
    <w:rsid w:val="009A2B43"/>
    <w:rsid w:val="009A3250"/>
    <w:rsid w:val="009A36B6"/>
    <w:rsid w:val="009A3B6E"/>
    <w:rsid w:val="009A3ECE"/>
    <w:rsid w:val="009A4378"/>
    <w:rsid w:val="009A4D10"/>
    <w:rsid w:val="009A4D71"/>
    <w:rsid w:val="009A4D85"/>
    <w:rsid w:val="009A5423"/>
    <w:rsid w:val="009A618B"/>
    <w:rsid w:val="009A6E2C"/>
    <w:rsid w:val="009A7C4C"/>
    <w:rsid w:val="009B0207"/>
    <w:rsid w:val="009B07FF"/>
    <w:rsid w:val="009B0A13"/>
    <w:rsid w:val="009B30B3"/>
    <w:rsid w:val="009B32B1"/>
    <w:rsid w:val="009B3316"/>
    <w:rsid w:val="009B340A"/>
    <w:rsid w:val="009B34D7"/>
    <w:rsid w:val="009B3C28"/>
    <w:rsid w:val="009B4965"/>
    <w:rsid w:val="009B498F"/>
    <w:rsid w:val="009B4E38"/>
    <w:rsid w:val="009B5011"/>
    <w:rsid w:val="009B5BCA"/>
    <w:rsid w:val="009B6150"/>
    <w:rsid w:val="009B6D3F"/>
    <w:rsid w:val="009B7634"/>
    <w:rsid w:val="009C013D"/>
    <w:rsid w:val="009C2217"/>
    <w:rsid w:val="009C31CB"/>
    <w:rsid w:val="009C33B4"/>
    <w:rsid w:val="009C3A25"/>
    <w:rsid w:val="009C3D0B"/>
    <w:rsid w:val="009C41CD"/>
    <w:rsid w:val="009C58A2"/>
    <w:rsid w:val="009C609F"/>
    <w:rsid w:val="009C6831"/>
    <w:rsid w:val="009C6FFD"/>
    <w:rsid w:val="009C71D7"/>
    <w:rsid w:val="009C738F"/>
    <w:rsid w:val="009C73C1"/>
    <w:rsid w:val="009C797D"/>
    <w:rsid w:val="009C7AFF"/>
    <w:rsid w:val="009C7DBC"/>
    <w:rsid w:val="009D031F"/>
    <w:rsid w:val="009D08B4"/>
    <w:rsid w:val="009D0ADD"/>
    <w:rsid w:val="009D0E93"/>
    <w:rsid w:val="009D146E"/>
    <w:rsid w:val="009D1AE7"/>
    <w:rsid w:val="009D1E99"/>
    <w:rsid w:val="009D245A"/>
    <w:rsid w:val="009D2C04"/>
    <w:rsid w:val="009D2FD8"/>
    <w:rsid w:val="009D300C"/>
    <w:rsid w:val="009D328B"/>
    <w:rsid w:val="009D3B59"/>
    <w:rsid w:val="009D3D3C"/>
    <w:rsid w:val="009D476A"/>
    <w:rsid w:val="009D5410"/>
    <w:rsid w:val="009D54EF"/>
    <w:rsid w:val="009D6BC9"/>
    <w:rsid w:val="009D7099"/>
    <w:rsid w:val="009D7103"/>
    <w:rsid w:val="009D7460"/>
    <w:rsid w:val="009E026C"/>
    <w:rsid w:val="009E07AD"/>
    <w:rsid w:val="009E09FB"/>
    <w:rsid w:val="009E0D1B"/>
    <w:rsid w:val="009E0E91"/>
    <w:rsid w:val="009E11AC"/>
    <w:rsid w:val="009E197B"/>
    <w:rsid w:val="009E19AA"/>
    <w:rsid w:val="009E1B82"/>
    <w:rsid w:val="009E1EA7"/>
    <w:rsid w:val="009E27C7"/>
    <w:rsid w:val="009E33DF"/>
    <w:rsid w:val="009E348D"/>
    <w:rsid w:val="009E3BB2"/>
    <w:rsid w:val="009E40E5"/>
    <w:rsid w:val="009E4177"/>
    <w:rsid w:val="009E4189"/>
    <w:rsid w:val="009E420B"/>
    <w:rsid w:val="009E5672"/>
    <w:rsid w:val="009E58DF"/>
    <w:rsid w:val="009E6682"/>
    <w:rsid w:val="009E669C"/>
    <w:rsid w:val="009E67E5"/>
    <w:rsid w:val="009E6AC5"/>
    <w:rsid w:val="009E6CD5"/>
    <w:rsid w:val="009E6D7C"/>
    <w:rsid w:val="009E7204"/>
    <w:rsid w:val="009E7936"/>
    <w:rsid w:val="009E7A11"/>
    <w:rsid w:val="009E7BBF"/>
    <w:rsid w:val="009E7D39"/>
    <w:rsid w:val="009F04E0"/>
    <w:rsid w:val="009F07AA"/>
    <w:rsid w:val="009F0823"/>
    <w:rsid w:val="009F0A83"/>
    <w:rsid w:val="009F0CC4"/>
    <w:rsid w:val="009F10F4"/>
    <w:rsid w:val="009F1359"/>
    <w:rsid w:val="009F160F"/>
    <w:rsid w:val="009F180D"/>
    <w:rsid w:val="009F24D8"/>
    <w:rsid w:val="009F2A7D"/>
    <w:rsid w:val="009F2E81"/>
    <w:rsid w:val="009F3288"/>
    <w:rsid w:val="009F384C"/>
    <w:rsid w:val="009F41DA"/>
    <w:rsid w:val="009F4627"/>
    <w:rsid w:val="009F46DB"/>
    <w:rsid w:val="009F50AA"/>
    <w:rsid w:val="009F5F15"/>
    <w:rsid w:val="009F67DE"/>
    <w:rsid w:val="009F68C4"/>
    <w:rsid w:val="009F6E16"/>
    <w:rsid w:val="009F7D76"/>
    <w:rsid w:val="009F7E15"/>
    <w:rsid w:val="00A00280"/>
    <w:rsid w:val="00A00AD3"/>
    <w:rsid w:val="00A01CC0"/>
    <w:rsid w:val="00A024F9"/>
    <w:rsid w:val="00A0297F"/>
    <w:rsid w:val="00A02CA9"/>
    <w:rsid w:val="00A03294"/>
    <w:rsid w:val="00A034BD"/>
    <w:rsid w:val="00A03E5F"/>
    <w:rsid w:val="00A041E7"/>
    <w:rsid w:val="00A04344"/>
    <w:rsid w:val="00A048C8"/>
    <w:rsid w:val="00A0493C"/>
    <w:rsid w:val="00A05188"/>
    <w:rsid w:val="00A05487"/>
    <w:rsid w:val="00A054D3"/>
    <w:rsid w:val="00A055EF"/>
    <w:rsid w:val="00A05657"/>
    <w:rsid w:val="00A05C4F"/>
    <w:rsid w:val="00A063E9"/>
    <w:rsid w:val="00A064D6"/>
    <w:rsid w:val="00A067D9"/>
    <w:rsid w:val="00A06BAC"/>
    <w:rsid w:val="00A06C99"/>
    <w:rsid w:val="00A06FDE"/>
    <w:rsid w:val="00A07745"/>
    <w:rsid w:val="00A07783"/>
    <w:rsid w:val="00A07C7A"/>
    <w:rsid w:val="00A07F3C"/>
    <w:rsid w:val="00A10002"/>
    <w:rsid w:val="00A1018F"/>
    <w:rsid w:val="00A101FF"/>
    <w:rsid w:val="00A10401"/>
    <w:rsid w:val="00A10621"/>
    <w:rsid w:val="00A10B25"/>
    <w:rsid w:val="00A10C82"/>
    <w:rsid w:val="00A110FD"/>
    <w:rsid w:val="00A11928"/>
    <w:rsid w:val="00A120E2"/>
    <w:rsid w:val="00A1210E"/>
    <w:rsid w:val="00A12B7E"/>
    <w:rsid w:val="00A12D8E"/>
    <w:rsid w:val="00A12DDC"/>
    <w:rsid w:val="00A13A6F"/>
    <w:rsid w:val="00A14201"/>
    <w:rsid w:val="00A14CFD"/>
    <w:rsid w:val="00A15424"/>
    <w:rsid w:val="00A16C74"/>
    <w:rsid w:val="00A16CAF"/>
    <w:rsid w:val="00A16FB9"/>
    <w:rsid w:val="00A1787B"/>
    <w:rsid w:val="00A20AB0"/>
    <w:rsid w:val="00A20BE5"/>
    <w:rsid w:val="00A21018"/>
    <w:rsid w:val="00A2135D"/>
    <w:rsid w:val="00A21667"/>
    <w:rsid w:val="00A217C2"/>
    <w:rsid w:val="00A21FC9"/>
    <w:rsid w:val="00A22593"/>
    <w:rsid w:val="00A22880"/>
    <w:rsid w:val="00A22ACC"/>
    <w:rsid w:val="00A23331"/>
    <w:rsid w:val="00A238BE"/>
    <w:rsid w:val="00A23BDC"/>
    <w:rsid w:val="00A23C3F"/>
    <w:rsid w:val="00A24420"/>
    <w:rsid w:val="00A24669"/>
    <w:rsid w:val="00A2587D"/>
    <w:rsid w:val="00A26083"/>
    <w:rsid w:val="00A2681C"/>
    <w:rsid w:val="00A27435"/>
    <w:rsid w:val="00A276FF"/>
    <w:rsid w:val="00A27AF0"/>
    <w:rsid w:val="00A27B15"/>
    <w:rsid w:val="00A3056C"/>
    <w:rsid w:val="00A30702"/>
    <w:rsid w:val="00A315EF"/>
    <w:rsid w:val="00A316F1"/>
    <w:rsid w:val="00A31AAE"/>
    <w:rsid w:val="00A31D24"/>
    <w:rsid w:val="00A323DE"/>
    <w:rsid w:val="00A326F9"/>
    <w:rsid w:val="00A32757"/>
    <w:rsid w:val="00A32BBD"/>
    <w:rsid w:val="00A32BCE"/>
    <w:rsid w:val="00A32F34"/>
    <w:rsid w:val="00A33237"/>
    <w:rsid w:val="00A3399A"/>
    <w:rsid w:val="00A339B3"/>
    <w:rsid w:val="00A33D86"/>
    <w:rsid w:val="00A33DDD"/>
    <w:rsid w:val="00A343ED"/>
    <w:rsid w:val="00A34550"/>
    <w:rsid w:val="00A34D2C"/>
    <w:rsid w:val="00A34EBB"/>
    <w:rsid w:val="00A35385"/>
    <w:rsid w:val="00A353CF"/>
    <w:rsid w:val="00A353DE"/>
    <w:rsid w:val="00A35899"/>
    <w:rsid w:val="00A35910"/>
    <w:rsid w:val="00A3702F"/>
    <w:rsid w:val="00A37108"/>
    <w:rsid w:val="00A40928"/>
    <w:rsid w:val="00A41B61"/>
    <w:rsid w:val="00A4227B"/>
    <w:rsid w:val="00A42733"/>
    <w:rsid w:val="00A42DC8"/>
    <w:rsid w:val="00A43708"/>
    <w:rsid w:val="00A43E03"/>
    <w:rsid w:val="00A441A9"/>
    <w:rsid w:val="00A44A62"/>
    <w:rsid w:val="00A44A78"/>
    <w:rsid w:val="00A453EC"/>
    <w:rsid w:val="00A45556"/>
    <w:rsid w:val="00A457B0"/>
    <w:rsid w:val="00A45F28"/>
    <w:rsid w:val="00A45FF8"/>
    <w:rsid w:val="00A46249"/>
    <w:rsid w:val="00A465B3"/>
    <w:rsid w:val="00A47705"/>
    <w:rsid w:val="00A47AD7"/>
    <w:rsid w:val="00A5081A"/>
    <w:rsid w:val="00A514D7"/>
    <w:rsid w:val="00A515CC"/>
    <w:rsid w:val="00A51988"/>
    <w:rsid w:val="00A51CF5"/>
    <w:rsid w:val="00A51E7D"/>
    <w:rsid w:val="00A52D1D"/>
    <w:rsid w:val="00A52D99"/>
    <w:rsid w:val="00A52FB0"/>
    <w:rsid w:val="00A53A8E"/>
    <w:rsid w:val="00A53EF3"/>
    <w:rsid w:val="00A54285"/>
    <w:rsid w:val="00A542DF"/>
    <w:rsid w:val="00A54B66"/>
    <w:rsid w:val="00A54C75"/>
    <w:rsid w:val="00A54E34"/>
    <w:rsid w:val="00A54FCC"/>
    <w:rsid w:val="00A553A7"/>
    <w:rsid w:val="00A554E8"/>
    <w:rsid w:val="00A55E7B"/>
    <w:rsid w:val="00A56ADA"/>
    <w:rsid w:val="00A57529"/>
    <w:rsid w:val="00A5759C"/>
    <w:rsid w:val="00A57BE9"/>
    <w:rsid w:val="00A605AC"/>
    <w:rsid w:val="00A60C08"/>
    <w:rsid w:val="00A610F0"/>
    <w:rsid w:val="00A61664"/>
    <w:rsid w:val="00A61C13"/>
    <w:rsid w:val="00A61D3F"/>
    <w:rsid w:val="00A623D9"/>
    <w:rsid w:val="00A62495"/>
    <w:rsid w:val="00A63548"/>
    <w:rsid w:val="00A6380F"/>
    <w:rsid w:val="00A6382A"/>
    <w:rsid w:val="00A63BD4"/>
    <w:rsid w:val="00A63CC5"/>
    <w:rsid w:val="00A640A4"/>
    <w:rsid w:val="00A64266"/>
    <w:rsid w:val="00A643C9"/>
    <w:rsid w:val="00A6482B"/>
    <w:rsid w:val="00A64C48"/>
    <w:rsid w:val="00A65247"/>
    <w:rsid w:val="00A6527E"/>
    <w:rsid w:val="00A661AD"/>
    <w:rsid w:val="00A662B7"/>
    <w:rsid w:val="00A66354"/>
    <w:rsid w:val="00A67485"/>
    <w:rsid w:val="00A67E30"/>
    <w:rsid w:val="00A67F74"/>
    <w:rsid w:val="00A67FAD"/>
    <w:rsid w:val="00A709D7"/>
    <w:rsid w:val="00A71277"/>
    <w:rsid w:val="00A71F77"/>
    <w:rsid w:val="00A729A1"/>
    <w:rsid w:val="00A72A80"/>
    <w:rsid w:val="00A72DB6"/>
    <w:rsid w:val="00A732A1"/>
    <w:rsid w:val="00A73CF5"/>
    <w:rsid w:val="00A7455A"/>
    <w:rsid w:val="00A74E9A"/>
    <w:rsid w:val="00A7516E"/>
    <w:rsid w:val="00A75397"/>
    <w:rsid w:val="00A768FE"/>
    <w:rsid w:val="00A77557"/>
    <w:rsid w:val="00A77883"/>
    <w:rsid w:val="00A77A9A"/>
    <w:rsid w:val="00A80016"/>
    <w:rsid w:val="00A80589"/>
    <w:rsid w:val="00A80BBD"/>
    <w:rsid w:val="00A80E52"/>
    <w:rsid w:val="00A81011"/>
    <w:rsid w:val="00A811BE"/>
    <w:rsid w:val="00A815B7"/>
    <w:rsid w:val="00A821CB"/>
    <w:rsid w:val="00A833BB"/>
    <w:rsid w:val="00A836CB"/>
    <w:rsid w:val="00A8373D"/>
    <w:rsid w:val="00A8374C"/>
    <w:rsid w:val="00A83ABB"/>
    <w:rsid w:val="00A842B7"/>
    <w:rsid w:val="00A84942"/>
    <w:rsid w:val="00A849C3"/>
    <w:rsid w:val="00A849E5"/>
    <w:rsid w:val="00A84D80"/>
    <w:rsid w:val="00A8523F"/>
    <w:rsid w:val="00A8525E"/>
    <w:rsid w:val="00A8756F"/>
    <w:rsid w:val="00A877D1"/>
    <w:rsid w:val="00A87F40"/>
    <w:rsid w:val="00A901A0"/>
    <w:rsid w:val="00A90323"/>
    <w:rsid w:val="00A903E4"/>
    <w:rsid w:val="00A9044E"/>
    <w:rsid w:val="00A904FF"/>
    <w:rsid w:val="00A90653"/>
    <w:rsid w:val="00A90BBB"/>
    <w:rsid w:val="00A90F12"/>
    <w:rsid w:val="00A9112F"/>
    <w:rsid w:val="00A913EF"/>
    <w:rsid w:val="00A9200F"/>
    <w:rsid w:val="00A92293"/>
    <w:rsid w:val="00A922EE"/>
    <w:rsid w:val="00A92397"/>
    <w:rsid w:val="00A92707"/>
    <w:rsid w:val="00A92882"/>
    <w:rsid w:val="00A93131"/>
    <w:rsid w:val="00A93CD5"/>
    <w:rsid w:val="00A94B44"/>
    <w:rsid w:val="00A94D6A"/>
    <w:rsid w:val="00A950D4"/>
    <w:rsid w:val="00A9518C"/>
    <w:rsid w:val="00A95571"/>
    <w:rsid w:val="00A956B9"/>
    <w:rsid w:val="00A95FAB"/>
    <w:rsid w:val="00A9630F"/>
    <w:rsid w:val="00A96370"/>
    <w:rsid w:val="00A964E0"/>
    <w:rsid w:val="00A96899"/>
    <w:rsid w:val="00A96D5A"/>
    <w:rsid w:val="00A96D98"/>
    <w:rsid w:val="00A978A5"/>
    <w:rsid w:val="00A97949"/>
    <w:rsid w:val="00A979AB"/>
    <w:rsid w:val="00A97D98"/>
    <w:rsid w:val="00AA01C4"/>
    <w:rsid w:val="00AA0A57"/>
    <w:rsid w:val="00AA0B4F"/>
    <w:rsid w:val="00AA0FBE"/>
    <w:rsid w:val="00AA15BB"/>
    <w:rsid w:val="00AA1C48"/>
    <w:rsid w:val="00AA1DC3"/>
    <w:rsid w:val="00AA349D"/>
    <w:rsid w:val="00AA3DFB"/>
    <w:rsid w:val="00AA424C"/>
    <w:rsid w:val="00AA42AC"/>
    <w:rsid w:val="00AA43C2"/>
    <w:rsid w:val="00AA468F"/>
    <w:rsid w:val="00AA4DF7"/>
    <w:rsid w:val="00AA570D"/>
    <w:rsid w:val="00AA65E5"/>
    <w:rsid w:val="00AA68D8"/>
    <w:rsid w:val="00AA6B11"/>
    <w:rsid w:val="00AA6C80"/>
    <w:rsid w:val="00AA7537"/>
    <w:rsid w:val="00AB05B6"/>
    <w:rsid w:val="00AB2343"/>
    <w:rsid w:val="00AB260E"/>
    <w:rsid w:val="00AB2C9B"/>
    <w:rsid w:val="00AB2CB8"/>
    <w:rsid w:val="00AB324B"/>
    <w:rsid w:val="00AB3686"/>
    <w:rsid w:val="00AB3785"/>
    <w:rsid w:val="00AB386E"/>
    <w:rsid w:val="00AB3EE5"/>
    <w:rsid w:val="00AB3F21"/>
    <w:rsid w:val="00AB408C"/>
    <w:rsid w:val="00AB475F"/>
    <w:rsid w:val="00AB4E13"/>
    <w:rsid w:val="00AB4E83"/>
    <w:rsid w:val="00AB4EBF"/>
    <w:rsid w:val="00AB5500"/>
    <w:rsid w:val="00AB5547"/>
    <w:rsid w:val="00AB5BD3"/>
    <w:rsid w:val="00AB6223"/>
    <w:rsid w:val="00AB6FA2"/>
    <w:rsid w:val="00AB7CEC"/>
    <w:rsid w:val="00AB7D23"/>
    <w:rsid w:val="00AB7E10"/>
    <w:rsid w:val="00AC0243"/>
    <w:rsid w:val="00AC0404"/>
    <w:rsid w:val="00AC06C1"/>
    <w:rsid w:val="00AC09C8"/>
    <w:rsid w:val="00AC0F6A"/>
    <w:rsid w:val="00AC15B3"/>
    <w:rsid w:val="00AC1E0E"/>
    <w:rsid w:val="00AC3193"/>
    <w:rsid w:val="00AC3827"/>
    <w:rsid w:val="00AC47A9"/>
    <w:rsid w:val="00AC4FA6"/>
    <w:rsid w:val="00AC52C9"/>
    <w:rsid w:val="00AC5A8E"/>
    <w:rsid w:val="00AC60AA"/>
    <w:rsid w:val="00AC63FA"/>
    <w:rsid w:val="00AC657C"/>
    <w:rsid w:val="00AC6CE6"/>
    <w:rsid w:val="00AC6F4D"/>
    <w:rsid w:val="00AC706A"/>
    <w:rsid w:val="00AC7B41"/>
    <w:rsid w:val="00AD0348"/>
    <w:rsid w:val="00AD03ED"/>
    <w:rsid w:val="00AD0C04"/>
    <w:rsid w:val="00AD11B5"/>
    <w:rsid w:val="00AD1307"/>
    <w:rsid w:val="00AD13B1"/>
    <w:rsid w:val="00AD1BDD"/>
    <w:rsid w:val="00AD1C42"/>
    <w:rsid w:val="00AD1DE4"/>
    <w:rsid w:val="00AD2367"/>
    <w:rsid w:val="00AD3121"/>
    <w:rsid w:val="00AD378B"/>
    <w:rsid w:val="00AD412C"/>
    <w:rsid w:val="00AD42F3"/>
    <w:rsid w:val="00AD4405"/>
    <w:rsid w:val="00AD4A13"/>
    <w:rsid w:val="00AD5012"/>
    <w:rsid w:val="00AD5081"/>
    <w:rsid w:val="00AD5941"/>
    <w:rsid w:val="00AD59B9"/>
    <w:rsid w:val="00AD5CA1"/>
    <w:rsid w:val="00AD62CC"/>
    <w:rsid w:val="00AD6841"/>
    <w:rsid w:val="00AD68F9"/>
    <w:rsid w:val="00AD7073"/>
    <w:rsid w:val="00AD7211"/>
    <w:rsid w:val="00AD7577"/>
    <w:rsid w:val="00AD774C"/>
    <w:rsid w:val="00AD78C0"/>
    <w:rsid w:val="00AE101B"/>
    <w:rsid w:val="00AE1FE8"/>
    <w:rsid w:val="00AE205B"/>
    <w:rsid w:val="00AE2113"/>
    <w:rsid w:val="00AE330A"/>
    <w:rsid w:val="00AE3579"/>
    <w:rsid w:val="00AE395D"/>
    <w:rsid w:val="00AE4047"/>
    <w:rsid w:val="00AE42D2"/>
    <w:rsid w:val="00AE43F6"/>
    <w:rsid w:val="00AE456E"/>
    <w:rsid w:val="00AE4673"/>
    <w:rsid w:val="00AE4716"/>
    <w:rsid w:val="00AE5654"/>
    <w:rsid w:val="00AE5837"/>
    <w:rsid w:val="00AE58C0"/>
    <w:rsid w:val="00AE602B"/>
    <w:rsid w:val="00AE64E2"/>
    <w:rsid w:val="00AE6625"/>
    <w:rsid w:val="00AE7164"/>
    <w:rsid w:val="00AE7704"/>
    <w:rsid w:val="00AF0039"/>
    <w:rsid w:val="00AF14D4"/>
    <w:rsid w:val="00AF16C5"/>
    <w:rsid w:val="00AF1EF7"/>
    <w:rsid w:val="00AF24EF"/>
    <w:rsid w:val="00AF2AD1"/>
    <w:rsid w:val="00AF2EFE"/>
    <w:rsid w:val="00AF39FA"/>
    <w:rsid w:val="00AF4960"/>
    <w:rsid w:val="00AF52A4"/>
    <w:rsid w:val="00AF577C"/>
    <w:rsid w:val="00AF5B48"/>
    <w:rsid w:val="00AF5D03"/>
    <w:rsid w:val="00AF5F2F"/>
    <w:rsid w:val="00AF603D"/>
    <w:rsid w:val="00AF717B"/>
    <w:rsid w:val="00AF77D6"/>
    <w:rsid w:val="00AF7B73"/>
    <w:rsid w:val="00B002E8"/>
    <w:rsid w:val="00B009EC"/>
    <w:rsid w:val="00B00E0C"/>
    <w:rsid w:val="00B01749"/>
    <w:rsid w:val="00B02024"/>
    <w:rsid w:val="00B0274F"/>
    <w:rsid w:val="00B02FA7"/>
    <w:rsid w:val="00B0360C"/>
    <w:rsid w:val="00B03BCF"/>
    <w:rsid w:val="00B046F5"/>
    <w:rsid w:val="00B04A5F"/>
    <w:rsid w:val="00B05B13"/>
    <w:rsid w:val="00B064B3"/>
    <w:rsid w:val="00B06595"/>
    <w:rsid w:val="00B067B6"/>
    <w:rsid w:val="00B0687B"/>
    <w:rsid w:val="00B06935"/>
    <w:rsid w:val="00B06E17"/>
    <w:rsid w:val="00B076F0"/>
    <w:rsid w:val="00B07BBA"/>
    <w:rsid w:val="00B101AB"/>
    <w:rsid w:val="00B1035D"/>
    <w:rsid w:val="00B1096B"/>
    <w:rsid w:val="00B109FE"/>
    <w:rsid w:val="00B10D25"/>
    <w:rsid w:val="00B10E22"/>
    <w:rsid w:val="00B114EE"/>
    <w:rsid w:val="00B117F7"/>
    <w:rsid w:val="00B120BB"/>
    <w:rsid w:val="00B124C9"/>
    <w:rsid w:val="00B12842"/>
    <w:rsid w:val="00B12912"/>
    <w:rsid w:val="00B12928"/>
    <w:rsid w:val="00B132E0"/>
    <w:rsid w:val="00B1402C"/>
    <w:rsid w:val="00B1487C"/>
    <w:rsid w:val="00B14DB5"/>
    <w:rsid w:val="00B1529F"/>
    <w:rsid w:val="00B1594A"/>
    <w:rsid w:val="00B15F2F"/>
    <w:rsid w:val="00B1631F"/>
    <w:rsid w:val="00B16342"/>
    <w:rsid w:val="00B16434"/>
    <w:rsid w:val="00B168AA"/>
    <w:rsid w:val="00B168CD"/>
    <w:rsid w:val="00B1690A"/>
    <w:rsid w:val="00B16A14"/>
    <w:rsid w:val="00B16CDE"/>
    <w:rsid w:val="00B16CE8"/>
    <w:rsid w:val="00B17B35"/>
    <w:rsid w:val="00B17C09"/>
    <w:rsid w:val="00B212C4"/>
    <w:rsid w:val="00B218AC"/>
    <w:rsid w:val="00B21DA0"/>
    <w:rsid w:val="00B21E9E"/>
    <w:rsid w:val="00B21F13"/>
    <w:rsid w:val="00B231AE"/>
    <w:rsid w:val="00B23641"/>
    <w:rsid w:val="00B242D5"/>
    <w:rsid w:val="00B24C43"/>
    <w:rsid w:val="00B253AA"/>
    <w:rsid w:val="00B25944"/>
    <w:rsid w:val="00B25A44"/>
    <w:rsid w:val="00B25BC9"/>
    <w:rsid w:val="00B25EA8"/>
    <w:rsid w:val="00B25ECD"/>
    <w:rsid w:val="00B2610F"/>
    <w:rsid w:val="00B2661B"/>
    <w:rsid w:val="00B26D59"/>
    <w:rsid w:val="00B275B5"/>
    <w:rsid w:val="00B276A6"/>
    <w:rsid w:val="00B30B47"/>
    <w:rsid w:val="00B318A1"/>
    <w:rsid w:val="00B3262D"/>
    <w:rsid w:val="00B326A0"/>
    <w:rsid w:val="00B32ABE"/>
    <w:rsid w:val="00B32AC7"/>
    <w:rsid w:val="00B32C3D"/>
    <w:rsid w:val="00B330D2"/>
    <w:rsid w:val="00B33AF5"/>
    <w:rsid w:val="00B3406C"/>
    <w:rsid w:val="00B340AF"/>
    <w:rsid w:val="00B343F4"/>
    <w:rsid w:val="00B34620"/>
    <w:rsid w:val="00B34858"/>
    <w:rsid w:val="00B35687"/>
    <w:rsid w:val="00B3585D"/>
    <w:rsid w:val="00B35A73"/>
    <w:rsid w:val="00B35DB4"/>
    <w:rsid w:val="00B36737"/>
    <w:rsid w:val="00B36FA2"/>
    <w:rsid w:val="00B37416"/>
    <w:rsid w:val="00B37612"/>
    <w:rsid w:val="00B37D85"/>
    <w:rsid w:val="00B40337"/>
    <w:rsid w:val="00B40397"/>
    <w:rsid w:val="00B4086C"/>
    <w:rsid w:val="00B41181"/>
    <w:rsid w:val="00B412EC"/>
    <w:rsid w:val="00B412F5"/>
    <w:rsid w:val="00B41E7A"/>
    <w:rsid w:val="00B428D1"/>
    <w:rsid w:val="00B439B5"/>
    <w:rsid w:val="00B439F3"/>
    <w:rsid w:val="00B440E9"/>
    <w:rsid w:val="00B445D3"/>
    <w:rsid w:val="00B44639"/>
    <w:rsid w:val="00B44D27"/>
    <w:rsid w:val="00B44EE0"/>
    <w:rsid w:val="00B44FE3"/>
    <w:rsid w:val="00B45757"/>
    <w:rsid w:val="00B46465"/>
    <w:rsid w:val="00B46AE6"/>
    <w:rsid w:val="00B504C6"/>
    <w:rsid w:val="00B50651"/>
    <w:rsid w:val="00B509C7"/>
    <w:rsid w:val="00B519BA"/>
    <w:rsid w:val="00B51ACF"/>
    <w:rsid w:val="00B52006"/>
    <w:rsid w:val="00B52B94"/>
    <w:rsid w:val="00B52CCC"/>
    <w:rsid w:val="00B52FBD"/>
    <w:rsid w:val="00B53397"/>
    <w:rsid w:val="00B533EB"/>
    <w:rsid w:val="00B5384B"/>
    <w:rsid w:val="00B541A5"/>
    <w:rsid w:val="00B543DD"/>
    <w:rsid w:val="00B55480"/>
    <w:rsid w:val="00B55574"/>
    <w:rsid w:val="00B558B2"/>
    <w:rsid w:val="00B56336"/>
    <w:rsid w:val="00B567F2"/>
    <w:rsid w:val="00B56DBF"/>
    <w:rsid w:val="00B56DD3"/>
    <w:rsid w:val="00B5793A"/>
    <w:rsid w:val="00B57DDF"/>
    <w:rsid w:val="00B60855"/>
    <w:rsid w:val="00B60A77"/>
    <w:rsid w:val="00B61A62"/>
    <w:rsid w:val="00B61BE9"/>
    <w:rsid w:val="00B62045"/>
    <w:rsid w:val="00B6246F"/>
    <w:rsid w:val="00B6307B"/>
    <w:rsid w:val="00B6344A"/>
    <w:rsid w:val="00B638A4"/>
    <w:rsid w:val="00B6486A"/>
    <w:rsid w:val="00B64F1F"/>
    <w:rsid w:val="00B65781"/>
    <w:rsid w:val="00B657AA"/>
    <w:rsid w:val="00B66266"/>
    <w:rsid w:val="00B663B3"/>
    <w:rsid w:val="00B66E9E"/>
    <w:rsid w:val="00B67D59"/>
    <w:rsid w:val="00B67E0B"/>
    <w:rsid w:val="00B67FCC"/>
    <w:rsid w:val="00B70384"/>
    <w:rsid w:val="00B706DB"/>
    <w:rsid w:val="00B711A4"/>
    <w:rsid w:val="00B71FB4"/>
    <w:rsid w:val="00B72148"/>
    <w:rsid w:val="00B72181"/>
    <w:rsid w:val="00B72432"/>
    <w:rsid w:val="00B72591"/>
    <w:rsid w:val="00B732B2"/>
    <w:rsid w:val="00B733B1"/>
    <w:rsid w:val="00B7363F"/>
    <w:rsid w:val="00B737E8"/>
    <w:rsid w:val="00B73DF3"/>
    <w:rsid w:val="00B73F1E"/>
    <w:rsid w:val="00B73FE9"/>
    <w:rsid w:val="00B744DD"/>
    <w:rsid w:val="00B74521"/>
    <w:rsid w:val="00B74666"/>
    <w:rsid w:val="00B747AF"/>
    <w:rsid w:val="00B75597"/>
    <w:rsid w:val="00B75FBB"/>
    <w:rsid w:val="00B7627E"/>
    <w:rsid w:val="00B762E7"/>
    <w:rsid w:val="00B7681C"/>
    <w:rsid w:val="00B769BA"/>
    <w:rsid w:val="00B76DA7"/>
    <w:rsid w:val="00B76F18"/>
    <w:rsid w:val="00B76FF6"/>
    <w:rsid w:val="00B77151"/>
    <w:rsid w:val="00B77344"/>
    <w:rsid w:val="00B80029"/>
    <w:rsid w:val="00B81A8C"/>
    <w:rsid w:val="00B81DC2"/>
    <w:rsid w:val="00B82401"/>
    <w:rsid w:val="00B829AB"/>
    <w:rsid w:val="00B82A62"/>
    <w:rsid w:val="00B833B9"/>
    <w:rsid w:val="00B833EB"/>
    <w:rsid w:val="00B849FF"/>
    <w:rsid w:val="00B84B31"/>
    <w:rsid w:val="00B84D16"/>
    <w:rsid w:val="00B85255"/>
    <w:rsid w:val="00B85317"/>
    <w:rsid w:val="00B857A4"/>
    <w:rsid w:val="00B85BBF"/>
    <w:rsid w:val="00B863A7"/>
    <w:rsid w:val="00B864F2"/>
    <w:rsid w:val="00B8675D"/>
    <w:rsid w:val="00B86D0B"/>
    <w:rsid w:val="00B86ED2"/>
    <w:rsid w:val="00B8706F"/>
    <w:rsid w:val="00B87458"/>
    <w:rsid w:val="00B87EE6"/>
    <w:rsid w:val="00B90DCA"/>
    <w:rsid w:val="00B91336"/>
    <w:rsid w:val="00B91B4D"/>
    <w:rsid w:val="00B91EAF"/>
    <w:rsid w:val="00B92301"/>
    <w:rsid w:val="00B92924"/>
    <w:rsid w:val="00B92B86"/>
    <w:rsid w:val="00B92CEC"/>
    <w:rsid w:val="00B9302C"/>
    <w:rsid w:val="00B9350D"/>
    <w:rsid w:val="00B939DE"/>
    <w:rsid w:val="00B93DB1"/>
    <w:rsid w:val="00B93F70"/>
    <w:rsid w:val="00B94045"/>
    <w:rsid w:val="00B9424A"/>
    <w:rsid w:val="00B94A3A"/>
    <w:rsid w:val="00B94EF8"/>
    <w:rsid w:val="00B95086"/>
    <w:rsid w:val="00B95439"/>
    <w:rsid w:val="00B95F6E"/>
    <w:rsid w:val="00B97545"/>
    <w:rsid w:val="00B9772E"/>
    <w:rsid w:val="00B97EE8"/>
    <w:rsid w:val="00BA01D8"/>
    <w:rsid w:val="00BA0249"/>
    <w:rsid w:val="00BA0462"/>
    <w:rsid w:val="00BA0E61"/>
    <w:rsid w:val="00BA1378"/>
    <w:rsid w:val="00BA1416"/>
    <w:rsid w:val="00BA16E1"/>
    <w:rsid w:val="00BA1F89"/>
    <w:rsid w:val="00BA2028"/>
    <w:rsid w:val="00BA25E9"/>
    <w:rsid w:val="00BA2CFF"/>
    <w:rsid w:val="00BA3158"/>
    <w:rsid w:val="00BA3BB5"/>
    <w:rsid w:val="00BA3D71"/>
    <w:rsid w:val="00BA45EC"/>
    <w:rsid w:val="00BA485D"/>
    <w:rsid w:val="00BA5157"/>
    <w:rsid w:val="00BA5255"/>
    <w:rsid w:val="00BA5418"/>
    <w:rsid w:val="00BA573A"/>
    <w:rsid w:val="00BA602B"/>
    <w:rsid w:val="00BA61D0"/>
    <w:rsid w:val="00BA61ED"/>
    <w:rsid w:val="00BA6630"/>
    <w:rsid w:val="00BA6A2E"/>
    <w:rsid w:val="00BA70F2"/>
    <w:rsid w:val="00BA7460"/>
    <w:rsid w:val="00BA7A4C"/>
    <w:rsid w:val="00BA7FC6"/>
    <w:rsid w:val="00BB00B3"/>
    <w:rsid w:val="00BB0109"/>
    <w:rsid w:val="00BB06DA"/>
    <w:rsid w:val="00BB091D"/>
    <w:rsid w:val="00BB0B00"/>
    <w:rsid w:val="00BB2069"/>
    <w:rsid w:val="00BB269A"/>
    <w:rsid w:val="00BB276B"/>
    <w:rsid w:val="00BB2B54"/>
    <w:rsid w:val="00BB2D5F"/>
    <w:rsid w:val="00BB2E7E"/>
    <w:rsid w:val="00BB2FFB"/>
    <w:rsid w:val="00BB3B17"/>
    <w:rsid w:val="00BB3DA8"/>
    <w:rsid w:val="00BB443D"/>
    <w:rsid w:val="00BB4A66"/>
    <w:rsid w:val="00BB4EA6"/>
    <w:rsid w:val="00BB56DF"/>
    <w:rsid w:val="00BB57B5"/>
    <w:rsid w:val="00BB5CD2"/>
    <w:rsid w:val="00BB5DCA"/>
    <w:rsid w:val="00BB6349"/>
    <w:rsid w:val="00BB6413"/>
    <w:rsid w:val="00BB6C73"/>
    <w:rsid w:val="00BB6CC5"/>
    <w:rsid w:val="00BB6EBF"/>
    <w:rsid w:val="00BB70E2"/>
    <w:rsid w:val="00BB7287"/>
    <w:rsid w:val="00BC0103"/>
    <w:rsid w:val="00BC0667"/>
    <w:rsid w:val="00BC1C34"/>
    <w:rsid w:val="00BC1CBD"/>
    <w:rsid w:val="00BC1E2C"/>
    <w:rsid w:val="00BC2150"/>
    <w:rsid w:val="00BC239C"/>
    <w:rsid w:val="00BC275B"/>
    <w:rsid w:val="00BC298C"/>
    <w:rsid w:val="00BC2BBB"/>
    <w:rsid w:val="00BC2F54"/>
    <w:rsid w:val="00BC2FF7"/>
    <w:rsid w:val="00BC3B7D"/>
    <w:rsid w:val="00BC4135"/>
    <w:rsid w:val="00BC4B98"/>
    <w:rsid w:val="00BC5B71"/>
    <w:rsid w:val="00BC6E65"/>
    <w:rsid w:val="00BC6EED"/>
    <w:rsid w:val="00BC792E"/>
    <w:rsid w:val="00BC7CC3"/>
    <w:rsid w:val="00BC7E30"/>
    <w:rsid w:val="00BD017C"/>
    <w:rsid w:val="00BD0230"/>
    <w:rsid w:val="00BD060D"/>
    <w:rsid w:val="00BD0BBB"/>
    <w:rsid w:val="00BD272C"/>
    <w:rsid w:val="00BD2795"/>
    <w:rsid w:val="00BD280E"/>
    <w:rsid w:val="00BD29C2"/>
    <w:rsid w:val="00BD2C80"/>
    <w:rsid w:val="00BD2DCB"/>
    <w:rsid w:val="00BD2EA2"/>
    <w:rsid w:val="00BD2F51"/>
    <w:rsid w:val="00BD379E"/>
    <w:rsid w:val="00BD3E86"/>
    <w:rsid w:val="00BD40C0"/>
    <w:rsid w:val="00BD4B57"/>
    <w:rsid w:val="00BD509D"/>
    <w:rsid w:val="00BD7019"/>
    <w:rsid w:val="00BD76C1"/>
    <w:rsid w:val="00BE0B92"/>
    <w:rsid w:val="00BE0C9F"/>
    <w:rsid w:val="00BE0E41"/>
    <w:rsid w:val="00BE21DD"/>
    <w:rsid w:val="00BE2943"/>
    <w:rsid w:val="00BE2E35"/>
    <w:rsid w:val="00BE2EA1"/>
    <w:rsid w:val="00BE2F93"/>
    <w:rsid w:val="00BE3662"/>
    <w:rsid w:val="00BE3B51"/>
    <w:rsid w:val="00BE4B28"/>
    <w:rsid w:val="00BE5B95"/>
    <w:rsid w:val="00BE5C74"/>
    <w:rsid w:val="00BE640D"/>
    <w:rsid w:val="00BE7425"/>
    <w:rsid w:val="00BE742D"/>
    <w:rsid w:val="00BE7543"/>
    <w:rsid w:val="00BE7881"/>
    <w:rsid w:val="00BE7A8A"/>
    <w:rsid w:val="00BE7E44"/>
    <w:rsid w:val="00BF1694"/>
    <w:rsid w:val="00BF1795"/>
    <w:rsid w:val="00BF1824"/>
    <w:rsid w:val="00BF1901"/>
    <w:rsid w:val="00BF1969"/>
    <w:rsid w:val="00BF2336"/>
    <w:rsid w:val="00BF23FD"/>
    <w:rsid w:val="00BF2739"/>
    <w:rsid w:val="00BF2798"/>
    <w:rsid w:val="00BF2D10"/>
    <w:rsid w:val="00BF3065"/>
    <w:rsid w:val="00BF3C66"/>
    <w:rsid w:val="00BF4222"/>
    <w:rsid w:val="00BF46BC"/>
    <w:rsid w:val="00BF4C7A"/>
    <w:rsid w:val="00BF51E6"/>
    <w:rsid w:val="00BF52FB"/>
    <w:rsid w:val="00BF55BA"/>
    <w:rsid w:val="00BF55EF"/>
    <w:rsid w:val="00BF5DAF"/>
    <w:rsid w:val="00BF5DC3"/>
    <w:rsid w:val="00BF66C3"/>
    <w:rsid w:val="00BF69FB"/>
    <w:rsid w:val="00BF6C88"/>
    <w:rsid w:val="00BF6FA0"/>
    <w:rsid w:val="00BF7326"/>
    <w:rsid w:val="00BF77E0"/>
    <w:rsid w:val="00C00548"/>
    <w:rsid w:val="00C01247"/>
    <w:rsid w:val="00C01403"/>
    <w:rsid w:val="00C016EF"/>
    <w:rsid w:val="00C01F4C"/>
    <w:rsid w:val="00C020D5"/>
    <w:rsid w:val="00C027AE"/>
    <w:rsid w:val="00C02810"/>
    <w:rsid w:val="00C02CAB"/>
    <w:rsid w:val="00C0300E"/>
    <w:rsid w:val="00C049A8"/>
    <w:rsid w:val="00C049C1"/>
    <w:rsid w:val="00C07CEE"/>
    <w:rsid w:val="00C10504"/>
    <w:rsid w:val="00C10608"/>
    <w:rsid w:val="00C10A28"/>
    <w:rsid w:val="00C10E50"/>
    <w:rsid w:val="00C11404"/>
    <w:rsid w:val="00C1161E"/>
    <w:rsid w:val="00C11BFC"/>
    <w:rsid w:val="00C12C09"/>
    <w:rsid w:val="00C132F9"/>
    <w:rsid w:val="00C13792"/>
    <w:rsid w:val="00C13CC1"/>
    <w:rsid w:val="00C13D7F"/>
    <w:rsid w:val="00C144AB"/>
    <w:rsid w:val="00C14601"/>
    <w:rsid w:val="00C152E3"/>
    <w:rsid w:val="00C154CB"/>
    <w:rsid w:val="00C1682A"/>
    <w:rsid w:val="00C16E06"/>
    <w:rsid w:val="00C17472"/>
    <w:rsid w:val="00C20EC0"/>
    <w:rsid w:val="00C2177A"/>
    <w:rsid w:val="00C2206A"/>
    <w:rsid w:val="00C22433"/>
    <w:rsid w:val="00C22485"/>
    <w:rsid w:val="00C2275D"/>
    <w:rsid w:val="00C22C26"/>
    <w:rsid w:val="00C22ECC"/>
    <w:rsid w:val="00C234A4"/>
    <w:rsid w:val="00C23BEB"/>
    <w:rsid w:val="00C23CF0"/>
    <w:rsid w:val="00C23DAD"/>
    <w:rsid w:val="00C24B6F"/>
    <w:rsid w:val="00C24F7D"/>
    <w:rsid w:val="00C25B64"/>
    <w:rsid w:val="00C268EA"/>
    <w:rsid w:val="00C272CA"/>
    <w:rsid w:val="00C27612"/>
    <w:rsid w:val="00C311B0"/>
    <w:rsid w:val="00C31560"/>
    <w:rsid w:val="00C318F9"/>
    <w:rsid w:val="00C31F19"/>
    <w:rsid w:val="00C31F6F"/>
    <w:rsid w:val="00C32D1B"/>
    <w:rsid w:val="00C33767"/>
    <w:rsid w:val="00C33D54"/>
    <w:rsid w:val="00C34647"/>
    <w:rsid w:val="00C34E23"/>
    <w:rsid w:val="00C3517D"/>
    <w:rsid w:val="00C3528C"/>
    <w:rsid w:val="00C35CDC"/>
    <w:rsid w:val="00C364E9"/>
    <w:rsid w:val="00C368D5"/>
    <w:rsid w:val="00C37441"/>
    <w:rsid w:val="00C40012"/>
    <w:rsid w:val="00C403E2"/>
    <w:rsid w:val="00C40F28"/>
    <w:rsid w:val="00C416A2"/>
    <w:rsid w:val="00C41B52"/>
    <w:rsid w:val="00C41F1D"/>
    <w:rsid w:val="00C42151"/>
    <w:rsid w:val="00C42199"/>
    <w:rsid w:val="00C42388"/>
    <w:rsid w:val="00C42F19"/>
    <w:rsid w:val="00C431B1"/>
    <w:rsid w:val="00C43324"/>
    <w:rsid w:val="00C435D8"/>
    <w:rsid w:val="00C43D6A"/>
    <w:rsid w:val="00C44751"/>
    <w:rsid w:val="00C448CB"/>
    <w:rsid w:val="00C44DC2"/>
    <w:rsid w:val="00C450EA"/>
    <w:rsid w:val="00C4556D"/>
    <w:rsid w:val="00C455EC"/>
    <w:rsid w:val="00C4579B"/>
    <w:rsid w:val="00C45C14"/>
    <w:rsid w:val="00C46421"/>
    <w:rsid w:val="00C4699E"/>
    <w:rsid w:val="00C474CC"/>
    <w:rsid w:val="00C47527"/>
    <w:rsid w:val="00C500B8"/>
    <w:rsid w:val="00C520A2"/>
    <w:rsid w:val="00C520DE"/>
    <w:rsid w:val="00C52832"/>
    <w:rsid w:val="00C52BB4"/>
    <w:rsid w:val="00C52F56"/>
    <w:rsid w:val="00C5315E"/>
    <w:rsid w:val="00C53A59"/>
    <w:rsid w:val="00C53BFB"/>
    <w:rsid w:val="00C55C25"/>
    <w:rsid w:val="00C55CA9"/>
    <w:rsid w:val="00C562D0"/>
    <w:rsid w:val="00C5631F"/>
    <w:rsid w:val="00C567F4"/>
    <w:rsid w:val="00C56843"/>
    <w:rsid w:val="00C56F7E"/>
    <w:rsid w:val="00C571CF"/>
    <w:rsid w:val="00C57483"/>
    <w:rsid w:val="00C6019A"/>
    <w:rsid w:val="00C601CB"/>
    <w:rsid w:val="00C6088C"/>
    <w:rsid w:val="00C60B89"/>
    <w:rsid w:val="00C612C7"/>
    <w:rsid w:val="00C6134E"/>
    <w:rsid w:val="00C6168D"/>
    <w:rsid w:val="00C618A7"/>
    <w:rsid w:val="00C61CF4"/>
    <w:rsid w:val="00C61D3C"/>
    <w:rsid w:val="00C622B0"/>
    <w:rsid w:val="00C62407"/>
    <w:rsid w:val="00C62B76"/>
    <w:rsid w:val="00C62E35"/>
    <w:rsid w:val="00C64478"/>
    <w:rsid w:val="00C64814"/>
    <w:rsid w:val="00C64CB2"/>
    <w:rsid w:val="00C65066"/>
    <w:rsid w:val="00C6523F"/>
    <w:rsid w:val="00C65499"/>
    <w:rsid w:val="00C6622C"/>
    <w:rsid w:val="00C66B52"/>
    <w:rsid w:val="00C66CF2"/>
    <w:rsid w:val="00C67426"/>
    <w:rsid w:val="00C67C02"/>
    <w:rsid w:val="00C67D63"/>
    <w:rsid w:val="00C67EDC"/>
    <w:rsid w:val="00C709D4"/>
    <w:rsid w:val="00C71643"/>
    <w:rsid w:val="00C72033"/>
    <w:rsid w:val="00C720C2"/>
    <w:rsid w:val="00C721F3"/>
    <w:rsid w:val="00C72F27"/>
    <w:rsid w:val="00C7417A"/>
    <w:rsid w:val="00C7461E"/>
    <w:rsid w:val="00C74ADB"/>
    <w:rsid w:val="00C74B99"/>
    <w:rsid w:val="00C75892"/>
    <w:rsid w:val="00C75E08"/>
    <w:rsid w:val="00C76919"/>
    <w:rsid w:val="00C76A61"/>
    <w:rsid w:val="00C77979"/>
    <w:rsid w:val="00C80868"/>
    <w:rsid w:val="00C809F8"/>
    <w:rsid w:val="00C8147F"/>
    <w:rsid w:val="00C84862"/>
    <w:rsid w:val="00C863DE"/>
    <w:rsid w:val="00C86D94"/>
    <w:rsid w:val="00C86F99"/>
    <w:rsid w:val="00C877F8"/>
    <w:rsid w:val="00C87F6C"/>
    <w:rsid w:val="00C87F7F"/>
    <w:rsid w:val="00C90508"/>
    <w:rsid w:val="00C90D18"/>
    <w:rsid w:val="00C90D22"/>
    <w:rsid w:val="00C90ED2"/>
    <w:rsid w:val="00C91804"/>
    <w:rsid w:val="00C91DD6"/>
    <w:rsid w:val="00C91EC0"/>
    <w:rsid w:val="00C92377"/>
    <w:rsid w:val="00C924F4"/>
    <w:rsid w:val="00C9262C"/>
    <w:rsid w:val="00C92692"/>
    <w:rsid w:val="00C92699"/>
    <w:rsid w:val="00C926DE"/>
    <w:rsid w:val="00C9288F"/>
    <w:rsid w:val="00C92FA0"/>
    <w:rsid w:val="00C9414C"/>
    <w:rsid w:val="00C94A28"/>
    <w:rsid w:val="00C952B0"/>
    <w:rsid w:val="00C95828"/>
    <w:rsid w:val="00C9616A"/>
    <w:rsid w:val="00C9668C"/>
    <w:rsid w:val="00C96CF2"/>
    <w:rsid w:val="00C96EFF"/>
    <w:rsid w:val="00C971B3"/>
    <w:rsid w:val="00C97406"/>
    <w:rsid w:val="00C97737"/>
    <w:rsid w:val="00C97B9D"/>
    <w:rsid w:val="00C97B9F"/>
    <w:rsid w:val="00C97E4F"/>
    <w:rsid w:val="00CA040E"/>
    <w:rsid w:val="00CA07F8"/>
    <w:rsid w:val="00CA0C58"/>
    <w:rsid w:val="00CA0E8C"/>
    <w:rsid w:val="00CA1442"/>
    <w:rsid w:val="00CA19B3"/>
    <w:rsid w:val="00CA19D6"/>
    <w:rsid w:val="00CA2008"/>
    <w:rsid w:val="00CA2CDB"/>
    <w:rsid w:val="00CA3675"/>
    <w:rsid w:val="00CA383E"/>
    <w:rsid w:val="00CA43F0"/>
    <w:rsid w:val="00CA4769"/>
    <w:rsid w:val="00CA4D7E"/>
    <w:rsid w:val="00CA562B"/>
    <w:rsid w:val="00CA599A"/>
    <w:rsid w:val="00CA5D6D"/>
    <w:rsid w:val="00CA6F75"/>
    <w:rsid w:val="00CA7474"/>
    <w:rsid w:val="00CA76E1"/>
    <w:rsid w:val="00CB0FD8"/>
    <w:rsid w:val="00CB1C1B"/>
    <w:rsid w:val="00CB1E65"/>
    <w:rsid w:val="00CB1EAF"/>
    <w:rsid w:val="00CB24FA"/>
    <w:rsid w:val="00CB2516"/>
    <w:rsid w:val="00CB28D5"/>
    <w:rsid w:val="00CB2D77"/>
    <w:rsid w:val="00CB370D"/>
    <w:rsid w:val="00CB4DDA"/>
    <w:rsid w:val="00CB4FF5"/>
    <w:rsid w:val="00CB657E"/>
    <w:rsid w:val="00CB7002"/>
    <w:rsid w:val="00CB717B"/>
    <w:rsid w:val="00CC0A82"/>
    <w:rsid w:val="00CC173F"/>
    <w:rsid w:val="00CC241A"/>
    <w:rsid w:val="00CC2598"/>
    <w:rsid w:val="00CC27A2"/>
    <w:rsid w:val="00CC2966"/>
    <w:rsid w:val="00CC2B59"/>
    <w:rsid w:val="00CC2D24"/>
    <w:rsid w:val="00CC3349"/>
    <w:rsid w:val="00CC3824"/>
    <w:rsid w:val="00CC3F43"/>
    <w:rsid w:val="00CC40CF"/>
    <w:rsid w:val="00CC4742"/>
    <w:rsid w:val="00CC4A15"/>
    <w:rsid w:val="00CC4A61"/>
    <w:rsid w:val="00CC4AB3"/>
    <w:rsid w:val="00CC4E7D"/>
    <w:rsid w:val="00CC57D8"/>
    <w:rsid w:val="00CC591E"/>
    <w:rsid w:val="00CC61D4"/>
    <w:rsid w:val="00CC6599"/>
    <w:rsid w:val="00CC67B2"/>
    <w:rsid w:val="00CC67C2"/>
    <w:rsid w:val="00CC7305"/>
    <w:rsid w:val="00CC75AF"/>
    <w:rsid w:val="00CC75E6"/>
    <w:rsid w:val="00CD06FD"/>
    <w:rsid w:val="00CD1869"/>
    <w:rsid w:val="00CD2016"/>
    <w:rsid w:val="00CD2699"/>
    <w:rsid w:val="00CD3494"/>
    <w:rsid w:val="00CD36D5"/>
    <w:rsid w:val="00CD3FC1"/>
    <w:rsid w:val="00CD4922"/>
    <w:rsid w:val="00CD4D46"/>
    <w:rsid w:val="00CD5C63"/>
    <w:rsid w:val="00CD6216"/>
    <w:rsid w:val="00CD6FDF"/>
    <w:rsid w:val="00CD71BD"/>
    <w:rsid w:val="00CD72FC"/>
    <w:rsid w:val="00CD74CA"/>
    <w:rsid w:val="00CD7733"/>
    <w:rsid w:val="00CE01BD"/>
    <w:rsid w:val="00CE02A7"/>
    <w:rsid w:val="00CE0782"/>
    <w:rsid w:val="00CE179B"/>
    <w:rsid w:val="00CE1A5D"/>
    <w:rsid w:val="00CE1C82"/>
    <w:rsid w:val="00CE2FA3"/>
    <w:rsid w:val="00CE32AF"/>
    <w:rsid w:val="00CE357C"/>
    <w:rsid w:val="00CE3BAB"/>
    <w:rsid w:val="00CE44DC"/>
    <w:rsid w:val="00CE478C"/>
    <w:rsid w:val="00CE50FA"/>
    <w:rsid w:val="00CE5755"/>
    <w:rsid w:val="00CE61FF"/>
    <w:rsid w:val="00CE651A"/>
    <w:rsid w:val="00CE679E"/>
    <w:rsid w:val="00CE6F4D"/>
    <w:rsid w:val="00CE73F9"/>
    <w:rsid w:val="00CF0772"/>
    <w:rsid w:val="00CF081F"/>
    <w:rsid w:val="00CF097A"/>
    <w:rsid w:val="00CF0A26"/>
    <w:rsid w:val="00CF0BC2"/>
    <w:rsid w:val="00CF1173"/>
    <w:rsid w:val="00CF146B"/>
    <w:rsid w:val="00CF1A24"/>
    <w:rsid w:val="00CF1E6C"/>
    <w:rsid w:val="00CF3721"/>
    <w:rsid w:val="00CF43A8"/>
    <w:rsid w:val="00CF63B6"/>
    <w:rsid w:val="00CF676E"/>
    <w:rsid w:val="00CF6B02"/>
    <w:rsid w:val="00CF77D3"/>
    <w:rsid w:val="00CF7CDC"/>
    <w:rsid w:val="00CF7F02"/>
    <w:rsid w:val="00D005C0"/>
    <w:rsid w:val="00D006EC"/>
    <w:rsid w:val="00D0082E"/>
    <w:rsid w:val="00D00FE1"/>
    <w:rsid w:val="00D011B3"/>
    <w:rsid w:val="00D01920"/>
    <w:rsid w:val="00D01ADC"/>
    <w:rsid w:val="00D01FC0"/>
    <w:rsid w:val="00D02210"/>
    <w:rsid w:val="00D02BE9"/>
    <w:rsid w:val="00D03009"/>
    <w:rsid w:val="00D0318B"/>
    <w:rsid w:val="00D033EA"/>
    <w:rsid w:val="00D034D9"/>
    <w:rsid w:val="00D03554"/>
    <w:rsid w:val="00D03D61"/>
    <w:rsid w:val="00D04003"/>
    <w:rsid w:val="00D04133"/>
    <w:rsid w:val="00D0463F"/>
    <w:rsid w:val="00D04BBA"/>
    <w:rsid w:val="00D04DB8"/>
    <w:rsid w:val="00D05086"/>
    <w:rsid w:val="00D05D9E"/>
    <w:rsid w:val="00D061C1"/>
    <w:rsid w:val="00D065E9"/>
    <w:rsid w:val="00D07914"/>
    <w:rsid w:val="00D07A97"/>
    <w:rsid w:val="00D10417"/>
    <w:rsid w:val="00D10C31"/>
    <w:rsid w:val="00D10EB5"/>
    <w:rsid w:val="00D11560"/>
    <w:rsid w:val="00D11738"/>
    <w:rsid w:val="00D120F0"/>
    <w:rsid w:val="00D1228A"/>
    <w:rsid w:val="00D126D7"/>
    <w:rsid w:val="00D12C67"/>
    <w:rsid w:val="00D145D7"/>
    <w:rsid w:val="00D147BD"/>
    <w:rsid w:val="00D14E43"/>
    <w:rsid w:val="00D152A1"/>
    <w:rsid w:val="00D16905"/>
    <w:rsid w:val="00D17966"/>
    <w:rsid w:val="00D17C84"/>
    <w:rsid w:val="00D2012C"/>
    <w:rsid w:val="00D20614"/>
    <w:rsid w:val="00D20BDF"/>
    <w:rsid w:val="00D21379"/>
    <w:rsid w:val="00D21385"/>
    <w:rsid w:val="00D2142F"/>
    <w:rsid w:val="00D2147C"/>
    <w:rsid w:val="00D2152C"/>
    <w:rsid w:val="00D22DE8"/>
    <w:rsid w:val="00D22E2C"/>
    <w:rsid w:val="00D23363"/>
    <w:rsid w:val="00D235C4"/>
    <w:rsid w:val="00D24664"/>
    <w:rsid w:val="00D24756"/>
    <w:rsid w:val="00D250A8"/>
    <w:rsid w:val="00D256A3"/>
    <w:rsid w:val="00D25A1F"/>
    <w:rsid w:val="00D26FAB"/>
    <w:rsid w:val="00D274CD"/>
    <w:rsid w:val="00D27CB7"/>
    <w:rsid w:val="00D30CFD"/>
    <w:rsid w:val="00D30D58"/>
    <w:rsid w:val="00D313D2"/>
    <w:rsid w:val="00D31657"/>
    <w:rsid w:val="00D316EB"/>
    <w:rsid w:val="00D31EA4"/>
    <w:rsid w:val="00D32BDC"/>
    <w:rsid w:val="00D32C14"/>
    <w:rsid w:val="00D33B87"/>
    <w:rsid w:val="00D33BEB"/>
    <w:rsid w:val="00D344BE"/>
    <w:rsid w:val="00D348E2"/>
    <w:rsid w:val="00D34E32"/>
    <w:rsid w:val="00D350B1"/>
    <w:rsid w:val="00D363FB"/>
    <w:rsid w:val="00D36459"/>
    <w:rsid w:val="00D3679E"/>
    <w:rsid w:val="00D36902"/>
    <w:rsid w:val="00D36CD0"/>
    <w:rsid w:val="00D37035"/>
    <w:rsid w:val="00D371E3"/>
    <w:rsid w:val="00D375C2"/>
    <w:rsid w:val="00D37A58"/>
    <w:rsid w:val="00D37F3C"/>
    <w:rsid w:val="00D37F85"/>
    <w:rsid w:val="00D4034C"/>
    <w:rsid w:val="00D40FF7"/>
    <w:rsid w:val="00D415DC"/>
    <w:rsid w:val="00D4181D"/>
    <w:rsid w:val="00D4301A"/>
    <w:rsid w:val="00D43073"/>
    <w:rsid w:val="00D4342A"/>
    <w:rsid w:val="00D4388F"/>
    <w:rsid w:val="00D4391A"/>
    <w:rsid w:val="00D43921"/>
    <w:rsid w:val="00D43A2B"/>
    <w:rsid w:val="00D443FB"/>
    <w:rsid w:val="00D44A02"/>
    <w:rsid w:val="00D45159"/>
    <w:rsid w:val="00D452D3"/>
    <w:rsid w:val="00D479A8"/>
    <w:rsid w:val="00D50796"/>
    <w:rsid w:val="00D50815"/>
    <w:rsid w:val="00D5129B"/>
    <w:rsid w:val="00D512E6"/>
    <w:rsid w:val="00D51551"/>
    <w:rsid w:val="00D51F78"/>
    <w:rsid w:val="00D522D9"/>
    <w:rsid w:val="00D525F6"/>
    <w:rsid w:val="00D5265E"/>
    <w:rsid w:val="00D52834"/>
    <w:rsid w:val="00D52DC9"/>
    <w:rsid w:val="00D53470"/>
    <w:rsid w:val="00D53B67"/>
    <w:rsid w:val="00D53DF6"/>
    <w:rsid w:val="00D54142"/>
    <w:rsid w:val="00D545B1"/>
    <w:rsid w:val="00D545B8"/>
    <w:rsid w:val="00D549A1"/>
    <w:rsid w:val="00D55469"/>
    <w:rsid w:val="00D554FD"/>
    <w:rsid w:val="00D55763"/>
    <w:rsid w:val="00D5583D"/>
    <w:rsid w:val="00D55868"/>
    <w:rsid w:val="00D55D9E"/>
    <w:rsid w:val="00D561AF"/>
    <w:rsid w:val="00D56243"/>
    <w:rsid w:val="00D56512"/>
    <w:rsid w:val="00D56B41"/>
    <w:rsid w:val="00D56B7D"/>
    <w:rsid w:val="00D57144"/>
    <w:rsid w:val="00D57473"/>
    <w:rsid w:val="00D57950"/>
    <w:rsid w:val="00D57B57"/>
    <w:rsid w:val="00D60209"/>
    <w:rsid w:val="00D60250"/>
    <w:rsid w:val="00D61C47"/>
    <w:rsid w:val="00D621B6"/>
    <w:rsid w:val="00D621BE"/>
    <w:rsid w:val="00D624B7"/>
    <w:rsid w:val="00D62840"/>
    <w:rsid w:val="00D62D87"/>
    <w:rsid w:val="00D63665"/>
    <w:rsid w:val="00D638C5"/>
    <w:rsid w:val="00D63BBE"/>
    <w:rsid w:val="00D63F49"/>
    <w:rsid w:val="00D64552"/>
    <w:rsid w:val="00D6461A"/>
    <w:rsid w:val="00D64F68"/>
    <w:rsid w:val="00D650BF"/>
    <w:rsid w:val="00D65F5B"/>
    <w:rsid w:val="00D66452"/>
    <w:rsid w:val="00D666C1"/>
    <w:rsid w:val="00D66DFF"/>
    <w:rsid w:val="00D67F42"/>
    <w:rsid w:val="00D67F4C"/>
    <w:rsid w:val="00D7067A"/>
    <w:rsid w:val="00D72744"/>
    <w:rsid w:val="00D7357D"/>
    <w:rsid w:val="00D737A9"/>
    <w:rsid w:val="00D738CB"/>
    <w:rsid w:val="00D73DB1"/>
    <w:rsid w:val="00D74417"/>
    <w:rsid w:val="00D74623"/>
    <w:rsid w:val="00D74B2A"/>
    <w:rsid w:val="00D7530D"/>
    <w:rsid w:val="00D75BD7"/>
    <w:rsid w:val="00D75F10"/>
    <w:rsid w:val="00D76391"/>
    <w:rsid w:val="00D763F1"/>
    <w:rsid w:val="00D76E0B"/>
    <w:rsid w:val="00D77398"/>
    <w:rsid w:val="00D804A6"/>
    <w:rsid w:val="00D808E2"/>
    <w:rsid w:val="00D80909"/>
    <w:rsid w:val="00D80926"/>
    <w:rsid w:val="00D80DCB"/>
    <w:rsid w:val="00D817CD"/>
    <w:rsid w:val="00D82192"/>
    <w:rsid w:val="00D82C66"/>
    <w:rsid w:val="00D8362F"/>
    <w:rsid w:val="00D83ED3"/>
    <w:rsid w:val="00D842DB"/>
    <w:rsid w:val="00D84581"/>
    <w:rsid w:val="00D85484"/>
    <w:rsid w:val="00D857C2"/>
    <w:rsid w:val="00D85A05"/>
    <w:rsid w:val="00D85FD5"/>
    <w:rsid w:val="00D8670F"/>
    <w:rsid w:val="00D86C69"/>
    <w:rsid w:val="00D86E17"/>
    <w:rsid w:val="00D87967"/>
    <w:rsid w:val="00D90364"/>
    <w:rsid w:val="00D904DB"/>
    <w:rsid w:val="00D90632"/>
    <w:rsid w:val="00D90A5E"/>
    <w:rsid w:val="00D91550"/>
    <w:rsid w:val="00D91780"/>
    <w:rsid w:val="00D92635"/>
    <w:rsid w:val="00D92C4C"/>
    <w:rsid w:val="00D93446"/>
    <w:rsid w:val="00D93602"/>
    <w:rsid w:val="00D939CE"/>
    <w:rsid w:val="00D93CAE"/>
    <w:rsid w:val="00D93E95"/>
    <w:rsid w:val="00D94165"/>
    <w:rsid w:val="00D945D0"/>
    <w:rsid w:val="00D9489C"/>
    <w:rsid w:val="00D94C0C"/>
    <w:rsid w:val="00D94F8D"/>
    <w:rsid w:val="00D95111"/>
    <w:rsid w:val="00D95E72"/>
    <w:rsid w:val="00D960D2"/>
    <w:rsid w:val="00D96A19"/>
    <w:rsid w:val="00D96D9C"/>
    <w:rsid w:val="00D97223"/>
    <w:rsid w:val="00D9766D"/>
    <w:rsid w:val="00D97695"/>
    <w:rsid w:val="00D97857"/>
    <w:rsid w:val="00D97B6F"/>
    <w:rsid w:val="00D97C5E"/>
    <w:rsid w:val="00DA0846"/>
    <w:rsid w:val="00DA0937"/>
    <w:rsid w:val="00DA0D75"/>
    <w:rsid w:val="00DA102C"/>
    <w:rsid w:val="00DA1AEE"/>
    <w:rsid w:val="00DA1FC9"/>
    <w:rsid w:val="00DA2F4A"/>
    <w:rsid w:val="00DA3743"/>
    <w:rsid w:val="00DA402F"/>
    <w:rsid w:val="00DA458E"/>
    <w:rsid w:val="00DA4CE2"/>
    <w:rsid w:val="00DA56A6"/>
    <w:rsid w:val="00DA5B81"/>
    <w:rsid w:val="00DA6398"/>
    <w:rsid w:val="00DA69A4"/>
    <w:rsid w:val="00DA6A9B"/>
    <w:rsid w:val="00DA7477"/>
    <w:rsid w:val="00DA7A52"/>
    <w:rsid w:val="00DB00F9"/>
    <w:rsid w:val="00DB02C2"/>
    <w:rsid w:val="00DB0707"/>
    <w:rsid w:val="00DB0BB8"/>
    <w:rsid w:val="00DB1166"/>
    <w:rsid w:val="00DB1529"/>
    <w:rsid w:val="00DB27F2"/>
    <w:rsid w:val="00DB2971"/>
    <w:rsid w:val="00DB2BA1"/>
    <w:rsid w:val="00DB31F7"/>
    <w:rsid w:val="00DB3266"/>
    <w:rsid w:val="00DB4C16"/>
    <w:rsid w:val="00DB4C5B"/>
    <w:rsid w:val="00DB4D82"/>
    <w:rsid w:val="00DB5908"/>
    <w:rsid w:val="00DB5A5B"/>
    <w:rsid w:val="00DB612E"/>
    <w:rsid w:val="00DB6251"/>
    <w:rsid w:val="00DB6DCB"/>
    <w:rsid w:val="00DB70C4"/>
    <w:rsid w:val="00DB70E5"/>
    <w:rsid w:val="00DB7642"/>
    <w:rsid w:val="00DC0E69"/>
    <w:rsid w:val="00DC0FD8"/>
    <w:rsid w:val="00DC11F8"/>
    <w:rsid w:val="00DC1605"/>
    <w:rsid w:val="00DC1ADC"/>
    <w:rsid w:val="00DC1C87"/>
    <w:rsid w:val="00DC287E"/>
    <w:rsid w:val="00DC2B60"/>
    <w:rsid w:val="00DC374F"/>
    <w:rsid w:val="00DC3BD8"/>
    <w:rsid w:val="00DC3DC9"/>
    <w:rsid w:val="00DC437B"/>
    <w:rsid w:val="00DC4EB2"/>
    <w:rsid w:val="00DC5033"/>
    <w:rsid w:val="00DC53D8"/>
    <w:rsid w:val="00DC5833"/>
    <w:rsid w:val="00DC5C19"/>
    <w:rsid w:val="00DC6443"/>
    <w:rsid w:val="00DC7108"/>
    <w:rsid w:val="00DC7C3E"/>
    <w:rsid w:val="00DD041D"/>
    <w:rsid w:val="00DD0659"/>
    <w:rsid w:val="00DD1616"/>
    <w:rsid w:val="00DD297D"/>
    <w:rsid w:val="00DD2DB0"/>
    <w:rsid w:val="00DD3CEB"/>
    <w:rsid w:val="00DD5298"/>
    <w:rsid w:val="00DD6041"/>
    <w:rsid w:val="00DD63C6"/>
    <w:rsid w:val="00DD6899"/>
    <w:rsid w:val="00DD6CDC"/>
    <w:rsid w:val="00DD70A1"/>
    <w:rsid w:val="00DD7633"/>
    <w:rsid w:val="00DD78B7"/>
    <w:rsid w:val="00DD7AF4"/>
    <w:rsid w:val="00DD7B93"/>
    <w:rsid w:val="00DD7FDE"/>
    <w:rsid w:val="00DE002E"/>
    <w:rsid w:val="00DE05EC"/>
    <w:rsid w:val="00DE1B05"/>
    <w:rsid w:val="00DE1EE7"/>
    <w:rsid w:val="00DE213E"/>
    <w:rsid w:val="00DE26B5"/>
    <w:rsid w:val="00DE3424"/>
    <w:rsid w:val="00DE430E"/>
    <w:rsid w:val="00DE53F2"/>
    <w:rsid w:val="00DE5C37"/>
    <w:rsid w:val="00DE69AA"/>
    <w:rsid w:val="00DE6CC6"/>
    <w:rsid w:val="00DE6DFB"/>
    <w:rsid w:val="00DE70CA"/>
    <w:rsid w:val="00DF0EC2"/>
    <w:rsid w:val="00DF10A4"/>
    <w:rsid w:val="00DF12A0"/>
    <w:rsid w:val="00DF1B39"/>
    <w:rsid w:val="00DF1DCB"/>
    <w:rsid w:val="00DF24E9"/>
    <w:rsid w:val="00DF2581"/>
    <w:rsid w:val="00DF30A0"/>
    <w:rsid w:val="00DF370A"/>
    <w:rsid w:val="00DF3AC0"/>
    <w:rsid w:val="00DF4B9C"/>
    <w:rsid w:val="00DF4FC4"/>
    <w:rsid w:val="00DF534C"/>
    <w:rsid w:val="00DF58CC"/>
    <w:rsid w:val="00DF60ED"/>
    <w:rsid w:val="00DF72FB"/>
    <w:rsid w:val="00DF73E8"/>
    <w:rsid w:val="00DF754F"/>
    <w:rsid w:val="00DF7A83"/>
    <w:rsid w:val="00DF7C1B"/>
    <w:rsid w:val="00DF7DB5"/>
    <w:rsid w:val="00E0022C"/>
    <w:rsid w:val="00E00896"/>
    <w:rsid w:val="00E00E64"/>
    <w:rsid w:val="00E01323"/>
    <w:rsid w:val="00E01B43"/>
    <w:rsid w:val="00E0209E"/>
    <w:rsid w:val="00E03286"/>
    <w:rsid w:val="00E0361D"/>
    <w:rsid w:val="00E03663"/>
    <w:rsid w:val="00E03843"/>
    <w:rsid w:val="00E03B0F"/>
    <w:rsid w:val="00E03E89"/>
    <w:rsid w:val="00E04126"/>
    <w:rsid w:val="00E045F1"/>
    <w:rsid w:val="00E049E5"/>
    <w:rsid w:val="00E04FE1"/>
    <w:rsid w:val="00E057D7"/>
    <w:rsid w:val="00E0583A"/>
    <w:rsid w:val="00E06987"/>
    <w:rsid w:val="00E074D3"/>
    <w:rsid w:val="00E07921"/>
    <w:rsid w:val="00E07CD2"/>
    <w:rsid w:val="00E10410"/>
    <w:rsid w:val="00E104D8"/>
    <w:rsid w:val="00E10BAD"/>
    <w:rsid w:val="00E11802"/>
    <w:rsid w:val="00E118E2"/>
    <w:rsid w:val="00E12F71"/>
    <w:rsid w:val="00E13E49"/>
    <w:rsid w:val="00E1474C"/>
    <w:rsid w:val="00E14792"/>
    <w:rsid w:val="00E149AA"/>
    <w:rsid w:val="00E15422"/>
    <w:rsid w:val="00E15CC4"/>
    <w:rsid w:val="00E15E71"/>
    <w:rsid w:val="00E160D5"/>
    <w:rsid w:val="00E16160"/>
    <w:rsid w:val="00E166DF"/>
    <w:rsid w:val="00E16C58"/>
    <w:rsid w:val="00E16E98"/>
    <w:rsid w:val="00E16FAE"/>
    <w:rsid w:val="00E177DC"/>
    <w:rsid w:val="00E17978"/>
    <w:rsid w:val="00E17A84"/>
    <w:rsid w:val="00E17D07"/>
    <w:rsid w:val="00E21A83"/>
    <w:rsid w:val="00E21B38"/>
    <w:rsid w:val="00E21C1B"/>
    <w:rsid w:val="00E22032"/>
    <w:rsid w:val="00E222F0"/>
    <w:rsid w:val="00E234EC"/>
    <w:rsid w:val="00E23CC1"/>
    <w:rsid w:val="00E24CBC"/>
    <w:rsid w:val="00E24D7C"/>
    <w:rsid w:val="00E25417"/>
    <w:rsid w:val="00E26224"/>
    <w:rsid w:val="00E268A6"/>
    <w:rsid w:val="00E26B26"/>
    <w:rsid w:val="00E2782E"/>
    <w:rsid w:val="00E27C20"/>
    <w:rsid w:val="00E27DFC"/>
    <w:rsid w:val="00E27FD0"/>
    <w:rsid w:val="00E30AA0"/>
    <w:rsid w:val="00E30B0B"/>
    <w:rsid w:val="00E31784"/>
    <w:rsid w:val="00E326B6"/>
    <w:rsid w:val="00E3292A"/>
    <w:rsid w:val="00E32C3D"/>
    <w:rsid w:val="00E3301D"/>
    <w:rsid w:val="00E33475"/>
    <w:rsid w:val="00E345F9"/>
    <w:rsid w:val="00E35880"/>
    <w:rsid w:val="00E362F7"/>
    <w:rsid w:val="00E36C57"/>
    <w:rsid w:val="00E36D67"/>
    <w:rsid w:val="00E36D74"/>
    <w:rsid w:val="00E373F4"/>
    <w:rsid w:val="00E377D5"/>
    <w:rsid w:val="00E37D4F"/>
    <w:rsid w:val="00E40168"/>
    <w:rsid w:val="00E408D7"/>
    <w:rsid w:val="00E41A6F"/>
    <w:rsid w:val="00E41E17"/>
    <w:rsid w:val="00E4207F"/>
    <w:rsid w:val="00E423A4"/>
    <w:rsid w:val="00E4284F"/>
    <w:rsid w:val="00E42AD5"/>
    <w:rsid w:val="00E42ADC"/>
    <w:rsid w:val="00E42DD3"/>
    <w:rsid w:val="00E4302C"/>
    <w:rsid w:val="00E439B1"/>
    <w:rsid w:val="00E439C8"/>
    <w:rsid w:val="00E43D0F"/>
    <w:rsid w:val="00E43D1E"/>
    <w:rsid w:val="00E44231"/>
    <w:rsid w:val="00E44344"/>
    <w:rsid w:val="00E45514"/>
    <w:rsid w:val="00E45666"/>
    <w:rsid w:val="00E461A2"/>
    <w:rsid w:val="00E463F5"/>
    <w:rsid w:val="00E46F16"/>
    <w:rsid w:val="00E47610"/>
    <w:rsid w:val="00E47C76"/>
    <w:rsid w:val="00E50897"/>
    <w:rsid w:val="00E50BAF"/>
    <w:rsid w:val="00E516DD"/>
    <w:rsid w:val="00E517BB"/>
    <w:rsid w:val="00E51E72"/>
    <w:rsid w:val="00E5230F"/>
    <w:rsid w:val="00E523AE"/>
    <w:rsid w:val="00E5266C"/>
    <w:rsid w:val="00E52B1A"/>
    <w:rsid w:val="00E52E08"/>
    <w:rsid w:val="00E53CD4"/>
    <w:rsid w:val="00E53FD7"/>
    <w:rsid w:val="00E54882"/>
    <w:rsid w:val="00E54ADF"/>
    <w:rsid w:val="00E55115"/>
    <w:rsid w:val="00E55463"/>
    <w:rsid w:val="00E5558A"/>
    <w:rsid w:val="00E557BD"/>
    <w:rsid w:val="00E55A4D"/>
    <w:rsid w:val="00E55AC9"/>
    <w:rsid w:val="00E55EF9"/>
    <w:rsid w:val="00E562F9"/>
    <w:rsid w:val="00E56327"/>
    <w:rsid w:val="00E56BE2"/>
    <w:rsid w:val="00E572D2"/>
    <w:rsid w:val="00E60392"/>
    <w:rsid w:val="00E603FD"/>
    <w:rsid w:val="00E60D92"/>
    <w:rsid w:val="00E61407"/>
    <w:rsid w:val="00E6167A"/>
    <w:rsid w:val="00E61770"/>
    <w:rsid w:val="00E61A3D"/>
    <w:rsid w:val="00E61F35"/>
    <w:rsid w:val="00E61F67"/>
    <w:rsid w:val="00E62BE7"/>
    <w:rsid w:val="00E6309A"/>
    <w:rsid w:val="00E636DD"/>
    <w:rsid w:val="00E66A6B"/>
    <w:rsid w:val="00E66B69"/>
    <w:rsid w:val="00E67CBF"/>
    <w:rsid w:val="00E7024A"/>
    <w:rsid w:val="00E710EF"/>
    <w:rsid w:val="00E711F6"/>
    <w:rsid w:val="00E71A1E"/>
    <w:rsid w:val="00E72352"/>
    <w:rsid w:val="00E72843"/>
    <w:rsid w:val="00E72A2A"/>
    <w:rsid w:val="00E72DDF"/>
    <w:rsid w:val="00E742E5"/>
    <w:rsid w:val="00E74605"/>
    <w:rsid w:val="00E74C34"/>
    <w:rsid w:val="00E74E62"/>
    <w:rsid w:val="00E7530F"/>
    <w:rsid w:val="00E75E2D"/>
    <w:rsid w:val="00E760B8"/>
    <w:rsid w:val="00E762AA"/>
    <w:rsid w:val="00E76537"/>
    <w:rsid w:val="00E76C2F"/>
    <w:rsid w:val="00E76D4F"/>
    <w:rsid w:val="00E77643"/>
    <w:rsid w:val="00E77ABC"/>
    <w:rsid w:val="00E77FAB"/>
    <w:rsid w:val="00E802DD"/>
    <w:rsid w:val="00E80537"/>
    <w:rsid w:val="00E80A81"/>
    <w:rsid w:val="00E8104B"/>
    <w:rsid w:val="00E81236"/>
    <w:rsid w:val="00E817EA"/>
    <w:rsid w:val="00E81A42"/>
    <w:rsid w:val="00E82101"/>
    <w:rsid w:val="00E823C0"/>
    <w:rsid w:val="00E823CE"/>
    <w:rsid w:val="00E824DF"/>
    <w:rsid w:val="00E82688"/>
    <w:rsid w:val="00E82D15"/>
    <w:rsid w:val="00E82DEE"/>
    <w:rsid w:val="00E832D7"/>
    <w:rsid w:val="00E83ABC"/>
    <w:rsid w:val="00E841B0"/>
    <w:rsid w:val="00E84D47"/>
    <w:rsid w:val="00E84F3E"/>
    <w:rsid w:val="00E8552D"/>
    <w:rsid w:val="00E85B7F"/>
    <w:rsid w:val="00E85DBF"/>
    <w:rsid w:val="00E86569"/>
    <w:rsid w:val="00E8697C"/>
    <w:rsid w:val="00E86C89"/>
    <w:rsid w:val="00E87933"/>
    <w:rsid w:val="00E904F6"/>
    <w:rsid w:val="00E90865"/>
    <w:rsid w:val="00E90A63"/>
    <w:rsid w:val="00E9161C"/>
    <w:rsid w:val="00E92204"/>
    <w:rsid w:val="00E923EB"/>
    <w:rsid w:val="00E9246B"/>
    <w:rsid w:val="00E926C0"/>
    <w:rsid w:val="00E92789"/>
    <w:rsid w:val="00E9289A"/>
    <w:rsid w:val="00E93046"/>
    <w:rsid w:val="00E9363A"/>
    <w:rsid w:val="00E940CC"/>
    <w:rsid w:val="00E942A8"/>
    <w:rsid w:val="00E94BEA"/>
    <w:rsid w:val="00E972CC"/>
    <w:rsid w:val="00E9730A"/>
    <w:rsid w:val="00E9773E"/>
    <w:rsid w:val="00E97BD1"/>
    <w:rsid w:val="00EA0001"/>
    <w:rsid w:val="00EA02D8"/>
    <w:rsid w:val="00EA04AF"/>
    <w:rsid w:val="00EA0F34"/>
    <w:rsid w:val="00EA0F91"/>
    <w:rsid w:val="00EA1868"/>
    <w:rsid w:val="00EA1ECF"/>
    <w:rsid w:val="00EA2EB1"/>
    <w:rsid w:val="00EA303A"/>
    <w:rsid w:val="00EA3A1E"/>
    <w:rsid w:val="00EA3D2A"/>
    <w:rsid w:val="00EA3EA7"/>
    <w:rsid w:val="00EA3F53"/>
    <w:rsid w:val="00EA4640"/>
    <w:rsid w:val="00EA4C3E"/>
    <w:rsid w:val="00EA50D6"/>
    <w:rsid w:val="00EA518E"/>
    <w:rsid w:val="00EA5281"/>
    <w:rsid w:val="00EA5F3A"/>
    <w:rsid w:val="00EA682D"/>
    <w:rsid w:val="00EA6A65"/>
    <w:rsid w:val="00EA6B00"/>
    <w:rsid w:val="00EA6C42"/>
    <w:rsid w:val="00EA7366"/>
    <w:rsid w:val="00EA77D0"/>
    <w:rsid w:val="00EA7917"/>
    <w:rsid w:val="00EB0CBD"/>
    <w:rsid w:val="00EB233C"/>
    <w:rsid w:val="00EB3BC3"/>
    <w:rsid w:val="00EB46F4"/>
    <w:rsid w:val="00EB4BF0"/>
    <w:rsid w:val="00EB51EE"/>
    <w:rsid w:val="00EB5315"/>
    <w:rsid w:val="00EB6105"/>
    <w:rsid w:val="00EB6A0F"/>
    <w:rsid w:val="00EB78A7"/>
    <w:rsid w:val="00EB7B65"/>
    <w:rsid w:val="00EC044E"/>
    <w:rsid w:val="00EC047B"/>
    <w:rsid w:val="00EC07D0"/>
    <w:rsid w:val="00EC0A55"/>
    <w:rsid w:val="00EC0E4A"/>
    <w:rsid w:val="00EC1D45"/>
    <w:rsid w:val="00EC1F43"/>
    <w:rsid w:val="00EC2903"/>
    <w:rsid w:val="00EC2FBF"/>
    <w:rsid w:val="00EC3846"/>
    <w:rsid w:val="00EC3A14"/>
    <w:rsid w:val="00EC3EF1"/>
    <w:rsid w:val="00EC4325"/>
    <w:rsid w:val="00EC435C"/>
    <w:rsid w:val="00EC43A6"/>
    <w:rsid w:val="00EC4A9C"/>
    <w:rsid w:val="00EC5017"/>
    <w:rsid w:val="00EC5165"/>
    <w:rsid w:val="00EC6102"/>
    <w:rsid w:val="00EC68F9"/>
    <w:rsid w:val="00EC6A4F"/>
    <w:rsid w:val="00EC7104"/>
    <w:rsid w:val="00EC7207"/>
    <w:rsid w:val="00EC7969"/>
    <w:rsid w:val="00EC7D37"/>
    <w:rsid w:val="00ED03A1"/>
    <w:rsid w:val="00ED0486"/>
    <w:rsid w:val="00ED0C7A"/>
    <w:rsid w:val="00ED0EEE"/>
    <w:rsid w:val="00ED0F35"/>
    <w:rsid w:val="00ED1142"/>
    <w:rsid w:val="00ED1291"/>
    <w:rsid w:val="00ED12D7"/>
    <w:rsid w:val="00ED16F6"/>
    <w:rsid w:val="00ED1794"/>
    <w:rsid w:val="00ED1D75"/>
    <w:rsid w:val="00ED1F4E"/>
    <w:rsid w:val="00ED2C94"/>
    <w:rsid w:val="00ED2CC1"/>
    <w:rsid w:val="00ED2F8D"/>
    <w:rsid w:val="00ED36FE"/>
    <w:rsid w:val="00ED3796"/>
    <w:rsid w:val="00ED39C1"/>
    <w:rsid w:val="00ED3E52"/>
    <w:rsid w:val="00ED3F88"/>
    <w:rsid w:val="00ED42A3"/>
    <w:rsid w:val="00ED5037"/>
    <w:rsid w:val="00ED569E"/>
    <w:rsid w:val="00ED63AD"/>
    <w:rsid w:val="00ED7516"/>
    <w:rsid w:val="00ED7748"/>
    <w:rsid w:val="00EE017D"/>
    <w:rsid w:val="00EE01C5"/>
    <w:rsid w:val="00EE0434"/>
    <w:rsid w:val="00EE0AD8"/>
    <w:rsid w:val="00EE0F0C"/>
    <w:rsid w:val="00EE1551"/>
    <w:rsid w:val="00EE1583"/>
    <w:rsid w:val="00EE2282"/>
    <w:rsid w:val="00EE2345"/>
    <w:rsid w:val="00EE2B37"/>
    <w:rsid w:val="00EE2B7E"/>
    <w:rsid w:val="00EE3339"/>
    <w:rsid w:val="00EE41E6"/>
    <w:rsid w:val="00EE4414"/>
    <w:rsid w:val="00EE4746"/>
    <w:rsid w:val="00EE48A2"/>
    <w:rsid w:val="00EE4AC8"/>
    <w:rsid w:val="00EE4B4C"/>
    <w:rsid w:val="00EE5B6A"/>
    <w:rsid w:val="00EE5B82"/>
    <w:rsid w:val="00EE5EE6"/>
    <w:rsid w:val="00EE7029"/>
    <w:rsid w:val="00EE735B"/>
    <w:rsid w:val="00EE73C4"/>
    <w:rsid w:val="00EE749E"/>
    <w:rsid w:val="00EE75E8"/>
    <w:rsid w:val="00EE7782"/>
    <w:rsid w:val="00EF00D8"/>
    <w:rsid w:val="00EF04A4"/>
    <w:rsid w:val="00EF06A9"/>
    <w:rsid w:val="00EF17C1"/>
    <w:rsid w:val="00EF1B46"/>
    <w:rsid w:val="00EF22B5"/>
    <w:rsid w:val="00EF2A22"/>
    <w:rsid w:val="00EF3E80"/>
    <w:rsid w:val="00EF3F7A"/>
    <w:rsid w:val="00EF503F"/>
    <w:rsid w:val="00EF5356"/>
    <w:rsid w:val="00EF53C7"/>
    <w:rsid w:val="00EF54AE"/>
    <w:rsid w:val="00EF5756"/>
    <w:rsid w:val="00EF59C3"/>
    <w:rsid w:val="00EF5A8F"/>
    <w:rsid w:val="00EF5E07"/>
    <w:rsid w:val="00EF6322"/>
    <w:rsid w:val="00EF64D2"/>
    <w:rsid w:val="00EF723C"/>
    <w:rsid w:val="00EF754F"/>
    <w:rsid w:val="00F00857"/>
    <w:rsid w:val="00F00941"/>
    <w:rsid w:val="00F016CF"/>
    <w:rsid w:val="00F03603"/>
    <w:rsid w:val="00F03DE7"/>
    <w:rsid w:val="00F04ABC"/>
    <w:rsid w:val="00F05135"/>
    <w:rsid w:val="00F0521B"/>
    <w:rsid w:val="00F05722"/>
    <w:rsid w:val="00F05F3E"/>
    <w:rsid w:val="00F060BA"/>
    <w:rsid w:val="00F06229"/>
    <w:rsid w:val="00F062B8"/>
    <w:rsid w:val="00F07716"/>
    <w:rsid w:val="00F07966"/>
    <w:rsid w:val="00F10025"/>
    <w:rsid w:val="00F10932"/>
    <w:rsid w:val="00F1197C"/>
    <w:rsid w:val="00F12248"/>
    <w:rsid w:val="00F12974"/>
    <w:rsid w:val="00F12B2B"/>
    <w:rsid w:val="00F130EF"/>
    <w:rsid w:val="00F13CBD"/>
    <w:rsid w:val="00F13E0F"/>
    <w:rsid w:val="00F14615"/>
    <w:rsid w:val="00F1499B"/>
    <w:rsid w:val="00F14D86"/>
    <w:rsid w:val="00F14EDB"/>
    <w:rsid w:val="00F152DE"/>
    <w:rsid w:val="00F157EE"/>
    <w:rsid w:val="00F15918"/>
    <w:rsid w:val="00F15998"/>
    <w:rsid w:val="00F161DD"/>
    <w:rsid w:val="00F16447"/>
    <w:rsid w:val="00F17742"/>
    <w:rsid w:val="00F17C06"/>
    <w:rsid w:val="00F204ED"/>
    <w:rsid w:val="00F20907"/>
    <w:rsid w:val="00F20C20"/>
    <w:rsid w:val="00F22209"/>
    <w:rsid w:val="00F22712"/>
    <w:rsid w:val="00F228E8"/>
    <w:rsid w:val="00F22A3C"/>
    <w:rsid w:val="00F22DD4"/>
    <w:rsid w:val="00F2363F"/>
    <w:rsid w:val="00F23A41"/>
    <w:rsid w:val="00F25055"/>
    <w:rsid w:val="00F250DA"/>
    <w:rsid w:val="00F25211"/>
    <w:rsid w:val="00F255CE"/>
    <w:rsid w:val="00F2563C"/>
    <w:rsid w:val="00F2567F"/>
    <w:rsid w:val="00F27649"/>
    <w:rsid w:val="00F27F50"/>
    <w:rsid w:val="00F300CE"/>
    <w:rsid w:val="00F3030B"/>
    <w:rsid w:val="00F30966"/>
    <w:rsid w:val="00F30A78"/>
    <w:rsid w:val="00F30BE6"/>
    <w:rsid w:val="00F30DE9"/>
    <w:rsid w:val="00F31CA7"/>
    <w:rsid w:val="00F3217B"/>
    <w:rsid w:val="00F322E5"/>
    <w:rsid w:val="00F32DA7"/>
    <w:rsid w:val="00F34187"/>
    <w:rsid w:val="00F34B46"/>
    <w:rsid w:val="00F352AB"/>
    <w:rsid w:val="00F354CB"/>
    <w:rsid w:val="00F35DAD"/>
    <w:rsid w:val="00F35FC3"/>
    <w:rsid w:val="00F37555"/>
    <w:rsid w:val="00F37E7B"/>
    <w:rsid w:val="00F407C2"/>
    <w:rsid w:val="00F408F9"/>
    <w:rsid w:val="00F41ACE"/>
    <w:rsid w:val="00F41F86"/>
    <w:rsid w:val="00F4216D"/>
    <w:rsid w:val="00F4270D"/>
    <w:rsid w:val="00F42901"/>
    <w:rsid w:val="00F42E7B"/>
    <w:rsid w:val="00F42FA1"/>
    <w:rsid w:val="00F431D8"/>
    <w:rsid w:val="00F43700"/>
    <w:rsid w:val="00F43755"/>
    <w:rsid w:val="00F438D3"/>
    <w:rsid w:val="00F43A93"/>
    <w:rsid w:val="00F43AAF"/>
    <w:rsid w:val="00F445A0"/>
    <w:rsid w:val="00F44620"/>
    <w:rsid w:val="00F44A59"/>
    <w:rsid w:val="00F44C55"/>
    <w:rsid w:val="00F44E23"/>
    <w:rsid w:val="00F45260"/>
    <w:rsid w:val="00F453D2"/>
    <w:rsid w:val="00F45C59"/>
    <w:rsid w:val="00F45C5E"/>
    <w:rsid w:val="00F46435"/>
    <w:rsid w:val="00F467FE"/>
    <w:rsid w:val="00F47540"/>
    <w:rsid w:val="00F47831"/>
    <w:rsid w:val="00F47862"/>
    <w:rsid w:val="00F47D10"/>
    <w:rsid w:val="00F47E34"/>
    <w:rsid w:val="00F5025C"/>
    <w:rsid w:val="00F50FF6"/>
    <w:rsid w:val="00F5224A"/>
    <w:rsid w:val="00F5291F"/>
    <w:rsid w:val="00F52DEF"/>
    <w:rsid w:val="00F53531"/>
    <w:rsid w:val="00F5363B"/>
    <w:rsid w:val="00F53F1E"/>
    <w:rsid w:val="00F54C9B"/>
    <w:rsid w:val="00F55243"/>
    <w:rsid w:val="00F56A96"/>
    <w:rsid w:val="00F5705E"/>
    <w:rsid w:val="00F61172"/>
    <w:rsid w:val="00F611D8"/>
    <w:rsid w:val="00F61C41"/>
    <w:rsid w:val="00F620AA"/>
    <w:rsid w:val="00F62B7F"/>
    <w:rsid w:val="00F632E3"/>
    <w:rsid w:val="00F63DC4"/>
    <w:rsid w:val="00F6426D"/>
    <w:rsid w:val="00F65402"/>
    <w:rsid w:val="00F6590B"/>
    <w:rsid w:val="00F6599F"/>
    <w:rsid w:val="00F6618D"/>
    <w:rsid w:val="00F6677C"/>
    <w:rsid w:val="00F66D5F"/>
    <w:rsid w:val="00F672CD"/>
    <w:rsid w:val="00F677AB"/>
    <w:rsid w:val="00F67926"/>
    <w:rsid w:val="00F702CA"/>
    <w:rsid w:val="00F70953"/>
    <w:rsid w:val="00F71182"/>
    <w:rsid w:val="00F7132A"/>
    <w:rsid w:val="00F716AC"/>
    <w:rsid w:val="00F71740"/>
    <w:rsid w:val="00F72EF1"/>
    <w:rsid w:val="00F732A5"/>
    <w:rsid w:val="00F734B9"/>
    <w:rsid w:val="00F734BC"/>
    <w:rsid w:val="00F73647"/>
    <w:rsid w:val="00F739D1"/>
    <w:rsid w:val="00F73E8E"/>
    <w:rsid w:val="00F744EF"/>
    <w:rsid w:val="00F74738"/>
    <w:rsid w:val="00F74862"/>
    <w:rsid w:val="00F74997"/>
    <w:rsid w:val="00F74F01"/>
    <w:rsid w:val="00F75A96"/>
    <w:rsid w:val="00F75B99"/>
    <w:rsid w:val="00F75FAA"/>
    <w:rsid w:val="00F7640F"/>
    <w:rsid w:val="00F765A0"/>
    <w:rsid w:val="00F76954"/>
    <w:rsid w:val="00F77155"/>
    <w:rsid w:val="00F77159"/>
    <w:rsid w:val="00F77407"/>
    <w:rsid w:val="00F77A82"/>
    <w:rsid w:val="00F800A3"/>
    <w:rsid w:val="00F80E4A"/>
    <w:rsid w:val="00F80FAB"/>
    <w:rsid w:val="00F8113D"/>
    <w:rsid w:val="00F8170E"/>
    <w:rsid w:val="00F81ACB"/>
    <w:rsid w:val="00F81E13"/>
    <w:rsid w:val="00F83126"/>
    <w:rsid w:val="00F845A6"/>
    <w:rsid w:val="00F8472F"/>
    <w:rsid w:val="00F84E73"/>
    <w:rsid w:val="00F85C36"/>
    <w:rsid w:val="00F85D0D"/>
    <w:rsid w:val="00F8623F"/>
    <w:rsid w:val="00F86393"/>
    <w:rsid w:val="00F86A7B"/>
    <w:rsid w:val="00F870E1"/>
    <w:rsid w:val="00F871C3"/>
    <w:rsid w:val="00F876F1"/>
    <w:rsid w:val="00F8789B"/>
    <w:rsid w:val="00F87C80"/>
    <w:rsid w:val="00F87C9F"/>
    <w:rsid w:val="00F900DF"/>
    <w:rsid w:val="00F901E6"/>
    <w:rsid w:val="00F90578"/>
    <w:rsid w:val="00F909E4"/>
    <w:rsid w:val="00F91375"/>
    <w:rsid w:val="00F91411"/>
    <w:rsid w:val="00F9173D"/>
    <w:rsid w:val="00F92237"/>
    <w:rsid w:val="00F92F06"/>
    <w:rsid w:val="00F9367D"/>
    <w:rsid w:val="00F938AD"/>
    <w:rsid w:val="00F939B8"/>
    <w:rsid w:val="00F93AC6"/>
    <w:rsid w:val="00F941B3"/>
    <w:rsid w:val="00F94834"/>
    <w:rsid w:val="00F95376"/>
    <w:rsid w:val="00F95394"/>
    <w:rsid w:val="00F957A0"/>
    <w:rsid w:val="00F95B80"/>
    <w:rsid w:val="00F95B91"/>
    <w:rsid w:val="00F96DF4"/>
    <w:rsid w:val="00F97E85"/>
    <w:rsid w:val="00FA025C"/>
    <w:rsid w:val="00FA0973"/>
    <w:rsid w:val="00FA0F72"/>
    <w:rsid w:val="00FA13C8"/>
    <w:rsid w:val="00FA1739"/>
    <w:rsid w:val="00FA207F"/>
    <w:rsid w:val="00FA289A"/>
    <w:rsid w:val="00FA3B77"/>
    <w:rsid w:val="00FA4703"/>
    <w:rsid w:val="00FA47B6"/>
    <w:rsid w:val="00FA4CE2"/>
    <w:rsid w:val="00FA4D2D"/>
    <w:rsid w:val="00FA4D5B"/>
    <w:rsid w:val="00FA56CE"/>
    <w:rsid w:val="00FA5728"/>
    <w:rsid w:val="00FA6249"/>
    <w:rsid w:val="00FA6338"/>
    <w:rsid w:val="00FA6929"/>
    <w:rsid w:val="00FA6C46"/>
    <w:rsid w:val="00FA7291"/>
    <w:rsid w:val="00FA72F2"/>
    <w:rsid w:val="00FA7347"/>
    <w:rsid w:val="00FA7B8D"/>
    <w:rsid w:val="00FA7CAD"/>
    <w:rsid w:val="00FB0757"/>
    <w:rsid w:val="00FB1035"/>
    <w:rsid w:val="00FB17F8"/>
    <w:rsid w:val="00FB1C53"/>
    <w:rsid w:val="00FB1EAA"/>
    <w:rsid w:val="00FB2022"/>
    <w:rsid w:val="00FB2E32"/>
    <w:rsid w:val="00FB325B"/>
    <w:rsid w:val="00FB3B31"/>
    <w:rsid w:val="00FB3C75"/>
    <w:rsid w:val="00FB45D8"/>
    <w:rsid w:val="00FB4706"/>
    <w:rsid w:val="00FB4778"/>
    <w:rsid w:val="00FB579A"/>
    <w:rsid w:val="00FB57A9"/>
    <w:rsid w:val="00FB5BCD"/>
    <w:rsid w:val="00FB5D72"/>
    <w:rsid w:val="00FB5D86"/>
    <w:rsid w:val="00FB6174"/>
    <w:rsid w:val="00FB7438"/>
    <w:rsid w:val="00FB7665"/>
    <w:rsid w:val="00FB7835"/>
    <w:rsid w:val="00FB7C03"/>
    <w:rsid w:val="00FC00D7"/>
    <w:rsid w:val="00FC010E"/>
    <w:rsid w:val="00FC1356"/>
    <w:rsid w:val="00FC1F0F"/>
    <w:rsid w:val="00FC1FB1"/>
    <w:rsid w:val="00FC2C24"/>
    <w:rsid w:val="00FC3728"/>
    <w:rsid w:val="00FC39A7"/>
    <w:rsid w:val="00FC3C78"/>
    <w:rsid w:val="00FC3D01"/>
    <w:rsid w:val="00FC4432"/>
    <w:rsid w:val="00FC4792"/>
    <w:rsid w:val="00FC4C17"/>
    <w:rsid w:val="00FC5105"/>
    <w:rsid w:val="00FC5800"/>
    <w:rsid w:val="00FC5EC1"/>
    <w:rsid w:val="00FC66DF"/>
    <w:rsid w:val="00FC6E5E"/>
    <w:rsid w:val="00FC794A"/>
    <w:rsid w:val="00FC7BF4"/>
    <w:rsid w:val="00FC7D26"/>
    <w:rsid w:val="00FD0FC1"/>
    <w:rsid w:val="00FD171D"/>
    <w:rsid w:val="00FD1CB4"/>
    <w:rsid w:val="00FD1EA0"/>
    <w:rsid w:val="00FD2299"/>
    <w:rsid w:val="00FD2437"/>
    <w:rsid w:val="00FD26AD"/>
    <w:rsid w:val="00FD2D95"/>
    <w:rsid w:val="00FD31E9"/>
    <w:rsid w:val="00FD3225"/>
    <w:rsid w:val="00FD37B4"/>
    <w:rsid w:val="00FD448B"/>
    <w:rsid w:val="00FD44CC"/>
    <w:rsid w:val="00FD4F79"/>
    <w:rsid w:val="00FD582F"/>
    <w:rsid w:val="00FD59F5"/>
    <w:rsid w:val="00FD5D7F"/>
    <w:rsid w:val="00FD6322"/>
    <w:rsid w:val="00FD635F"/>
    <w:rsid w:val="00FD6501"/>
    <w:rsid w:val="00FD6AF0"/>
    <w:rsid w:val="00FD7E4E"/>
    <w:rsid w:val="00FE054D"/>
    <w:rsid w:val="00FE064A"/>
    <w:rsid w:val="00FE1217"/>
    <w:rsid w:val="00FE1780"/>
    <w:rsid w:val="00FE2744"/>
    <w:rsid w:val="00FE2D76"/>
    <w:rsid w:val="00FE31D2"/>
    <w:rsid w:val="00FE3E91"/>
    <w:rsid w:val="00FE3F56"/>
    <w:rsid w:val="00FE4224"/>
    <w:rsid w:val="00FE59D9"/>
    <w:rsid w:val="00FE5C88"/>
    <w:rsid w:val="00FE5CDE"/>
    <w:rsid w:val="00FE6700"/>
    <w:rsid w:val="00FE7217"/>
    <w:rsid w:val="00FE73EE"/>
    <w:rsid w:val="00FE7C79"/>
    <w:rsid w:val="00FE7F29"/>
    <w:rsid w:val="00FF02F2"/>
    <w:rsid w:val="00FF034A"/>
    <w:rsid w:val="00FF162C"/>
    <w:rsid w:val="00FF23D9"/>
    <w:rsid w:val="00FF2889"/>
    <w:rsid w:val="00FF2B43"/>
    <w:rsid w:val="00FF2F73"/>
    <w:rsid w:val="00FF3A36"/>
    <w:rsid w:val="00FF3C80"/>
    <w:rsid w:val="00FF40CD"/>
    <w:rsid w:val="00FF46FA"/>
    <w:rsid w:val="00FF5027"/>
    <w:rsid w:val="00FF5245"/>
    <w:rsid w:val="00FF5F45"/>
    <w:rsid w:val="00FF62F5"/>
    <w:rsid w:val="00FF6447"/>
    <w:rsid w:val="00FF6F8D"/>
    <w:rsid w:val="00FF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5396B"/>
  <w15:docId w15:val="{112E1952-79A7-4256-8004-682B4247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6FD"/>
    <w:pPr>
      <w:spacing w:after="120"/>
    </w:pPr>
    <w:rPr>
      <w:rFonts w:ascii="Arial" w:hAnsi="Arial"/>
      <w:sz w:val="24"/>
      <w:szCs w:val="24"/>
    </w:rPr>
  </w:style>
  <w:style w:type="paragraph" w:styleId="Heading1">
    <w:name w:val="heading 1"/>
    <w:basedOn w:val="Normal"/>
    <w:next w:val="Normal"/>
    <w:uiPriority w:val="1"/>
    <w:qFormat/>
    <w:rsid w:val="00376CD3"/>
    <w:pPr>
      <w:keepNext/>
      <w:spacing w:before="300"/>
      <w:outlineLvl w:val="0"/>
    </w:pPr>
    <w:rPr>
      <w:rFonts w:cs="Arial"/>
      <w:b/>
      <w:bCs/>
      <w:color w:val="000080"/>
      <w:kern w:val="32"/>
      <w:sz w:val="36"/>
      <w:szCs w:val="32"/>
    </w:rPr>
  </w:style>
  <w:style w:type="paragraph" w:styleId="Heading2">
    <w:name w:val="heading 2"/>
    <w:basedOn w:val="Normal"/>
    <w:next w:val="Normal"/>
    <w:uiPriority w:val="1"/>
    <w:qFormat/>
    <w:rsid w:val="00A43E03"/>
    <w:pPr>
      <w:keepNext/>
      <w:spacing w:before="300"/>
      <w:outlineLvl w:val="1"/>
    </w:pPr>
    <w:rPr>
      <w:rFonts w:cs="Arial"/>
      <w:b/>
      <w:bCs/>
      <w:iCs/>
      <w:sz w:val="28"/>
      <w:szCs w:val="28"/>
    </w:rPr>
  </w:style>
  <w:style w:type="paragraph" w:styleId="Heading3">
    <w:name w:val="heading 3"/>
    <w:basedOn w:val="Normal"/>
    <w:next w:val="Normal"/>
    <w:link w:val="Heading3Char"/>
    <w:uiPriority w:val="1"/>
    <w:qFormat/>
    <w:rsid w:val="00A43E03"/>
    <w:pPr>
      <w:keepNext/>
      <w:spacing w:before="300"/>
      <w:outlineLvl w:val="2"/>
    </w:pPr>
    <w:rPr>
      <w:rFonts w:cs="Arial"/>
      <w:b/>
      <w:bCs/>
      <w:szCs w:val="26"/>
    </w:rPr>
  </w:style>
  <w:style w:type="paragraph" w:styleId="Heading4">
    <w:name w:val="heading 4"/>
    <w:basedOn w:val="Normal"/>
    <w:next w:val="Normal"/>
    <w:qFormat/>
    <w:rsid w:val="00F41ACE"/>
    <w:pPr>
      <w:outlineLvl w:val="3"/>
    </w:pPr>
    <w:rPr>
      <w:b/>
      <w:i/>
      <w:color w:val="333399"/>
    </w:rPr>
  </w:style>
  <w:style w:type="paragraph" w:styleId="Heading5">
    <w:name w:val="heading 5"/>
    <w:basedOn w:val="Normal"/>
    <w:next w:val="Normal"/>
    <w:qFormat/>
    <w:rsid w:val="00B74521"/>
    <w:pPr>
      <w:spacing w:before="240" w:after="60"/>
      <w:outlineLvl w:val="4"/>
    </w:pPr>
    <w:rPr>
      <w:b/>
      <w:bCs/>
      <w:i/>
      <w:iCs/>
      <w:sz w:val="26"/>
      <w:szCs w:val="26"/>
    </w:rPr>
  </w:style>
  <w:style w:type="paragraph" w:styleId="Heading6">
    <w:name w:val="heading 6"/>
    <w:basedOn w:val="Normal"/>
    <w:next w:val="Normal"/>
    <w:qFormat/>
    <w:rsid w:val="00B74521"/>
    <w:pPr>
      <w:spacing w:before="240" w:after="60"/>
      <w:outlineLvl w:val="5"/>
    </w:pPr>
    <w:rPr>
      <w:rFonts w:ascii="Times New Roman" w:hAnsi="Times New Roman"/>
      <w:b/>
      <w:bCs/>
      <w:sz w:val="22"/>
      <w:szCs w:val="22"/>
    </w:rPr>
  </w:style>
  <w:style w:type="paragraph" w:styleId="Heading7">
    <w:name w:val="heading 7"/>
    <w:basedOn w:val="Normal"/>
    <w:next w:val="Normal"/>
    <w:qFormat/>
    <w:rsid w:val="00B74521"/>
    <w:pPr>
      <w:spacing w:before="240" w:after="60"/>
      <w:outlineLvl w:val="6"/>
    </w:pPr>
    <w:rPr>
      <w:rFonts w:ascii="Times New Roman" w:hAnsi="Times New Roman"/>
    </w:rPr>
  </w:style>
  <w:style w:type="paragraph" w:styleId="Heading8">
    <w:name w:val="heading 8"/>
    <w:basedOn w:val="Normal"/>
    <w:next w:val="Normal"/>
    <w:qFormat/>
    <w:rsid w:val="00B74521"/>
    <w:pPr>
      <w:spacing w:before="240" w:after="60"/>
      <w:outlineLvl w:val="7"/>
    </w:pPr>
    <w:rPr>
      <w:rFonts w:ascii="Times New Roman" w:hAnsi="Times New Roman"/>
      <w:i/>
      <w:iCs/>
    </w:rPr>
  </w:style>
  <w:style w:type="paragraph" w:styleId="Heading9">
    <w:name w:val="heading 9"/>
    <w:basedOn w:val="Normal"/>
    <w:next w:val="Normal"/>
    <w:qFormat/>
    <w:rsid w:val="00B7452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
    <w:name w:val="boxed"/>
    <w:basedOn w:val="Normal"/>
    <w:link w:val="boxedChar"/>
    <w:semiHidden/>
    <w:rsid w:val="00621615"/>
    <w:pPr>
      <w:pBdr>
        <w:top w:val="single" w:sz="4" w:space="1" w:color="auto" w:shadow="1"/>
        <w:left w:val="single" w:sz="4" w:space="4" w:color="auto" w:shadow="1"/>
        <w:bottom w:val="single" w:sz="4" w:space="1" w:color="auto" w:shadow="1"/>
        <w:right w:val="single" w:sz="4" w:space="4" w:color="auto" w:shadow="1"/>
      </w:pBdr>
      <w:shd w:val="clear" w:color="auto" w:fill="CCFFFF"/>
      <w:ind w:right="36"/>
    </w:pPr>
    <w:rPr>
      <w:b/>
      <w:sz w:val="20"/>
    </w:rPr>
  </w:style>
  <w:style w:type="character" w:customStyle="1" w:styleId="boxedChar">
    <w:name w:val="boxed Char"/>
    <w:link w:val="boxed"/>
    <w:rsid w:val="00621615"/>
    <w:rPr>
      <w:rFonts w:ascii="Arial" w:hAnsi="Arial"/>
      <w:b/>
      <w:szCs w:val="24"/>
      <w:lang w:val="en-GB" w:eastAsia="en-GB" w:bidi="ar-SA"/>
    </w:rPr>
  </w:style>
  <w:style w:type="paragraph" w:styleId="ListBullet">
    <w:name w:val="List Bullet"/>
    <w:basedOn w:val="Normal"/>
    <w:link w:val="ListBulletChar"/>
    <w:semiHidden/>
    <w:rsid w:val="007D0DDA"/>
    <w:pPr>
      <w:numPr>
        <w:numId w:val="1"/>
      </w:numPr>
    </w:pPr>
  </w:style>
  <w:style w:type="paragraph" w:customStyle="1" w:styleId="StyleHeading4Left254cm">
    <w:name w:val="Style Heading 4 + Left:  2.54 cm"/>
    <w:basedOn w:val="Normal"/>
    <w:semiHidden/>
    <w:rsid w:val="00815BD5"/>
    <w:pPr>
      <w:numPr>
        <w:numId w:val="3"/>
      </w:numPr>
      <w:tabs>
        <w:tab w:val="clear" w:pos="0"/>
      </w:tabs>
      <w:ind w:left="728" w:hanging="728"/>
    </w:pPr>
  </w:style>
  <w:style w:type="character" w:styleId="Hyperlink">
    <w:name w:val="Hyperlink"/>
    <w:uiPriority w:val="99"/>
    <w:rsid w:val="00450349"/>
    <w:rPr>
      <w:color w:val="0000FF"/>
      <w:u w:val="single"/>
    </w:rPr>
  </w:style>
  <w:style w:type="paragraph" w:customStyle="1" w:styleId="bulletlist">
    <w:name w:val="bullet_list"/>
    <w:basedOn w:val="Normal"/>
    <w:semiHidden/>
    <w:rsid w:val="00450349"/>
    <w:pPr>
      <w:numPr>
        <w:numId w:val="2"/>
      </w:numPr>
    </w:pPr>
    <w:rPr>
      <w:sz w:val="22"/>
    </w:rPr>
  </w:style>
  <w:style w:type="paragraph" w:styleId="Header">
    <w:name w:val="header"/>
    <w:basedOn w:val="Normal"/>
    <w:link w:val="HeaderChar"/>
    <w:rsid w:val="008E439E"/>
    <w:pPr>
      <w:tabs>
        <w:tab w:val="center" w:pos="4153"/>
        <w:tab w:val="right" w:pos="8306"/>
      </w:tabs>
    </w:pPr>
  </w:style>
  <w:style w:type="paragraph" w:styleId="Footer">
    <w:name w:val="footer"/>
    <w:basedOn w:val="Normal"/>
    <w:semiHidden/>
    <w:rsid w:val="008E439E"/>
    <w:pPr>
      <w:tabs>
        <w:tab w:val="center" w:pos="4153"/>
        <w:tab w:val="right" w:pos="8306"/>
      </w:tabs>
    </w:pPr>
  </w:style>
  <w:style w:type="paragraph" w:styleId="TOC1">
    <w:name w:val="toc 1"/>
    <w:basedOn w:val="Normal"/>
    <w:next w:val="Normal"/>
    <w:autoRedefine/>
    <w:uiPriority w:val="39"/>
    <w:rsid w:val="00AD5081"/>
    <w:pPr>
      <w:tabs>
        <w:tab w:val="right" w:leader="dot" w:pos="9629"/>
      </w:tabs>
      <w:spacing w:before="160" w:after="40"/>
    </w:pPr>
    <w:rPr>
      <w:b/>
      <w:noProof/>
      <w:color w:val="000080"/>
    </w:rPr>
  </w:style>
  <w:style w:type="paragraph" w:styleId="TOC2">
    <w:name w:val="toc 2"/>
    <w:basedOn w:val="Normal"/>
    <w:next w:val="Normal"/>
    <w:autoRedefine/>
    <w:uiPriority w:val="39"/>
    <w:rsid w:val="00AD5081"/>
    <w:pPr>
      <w:tabs>
        <w:tab w:val="right" w:leader="dot" w:pos="9629"/>
      </w:tabs>
      <w:spacing w:before="40" w:after="40"/>
    </w:pPr>
    <w:rPr>
      <w:noProof/>
    </w:rPr>
  </w:style>
  <w:style w:type="paragraph" w:styleId="TOC3">
    <w:name w:val="toc 3"/>
    <w:basedOn w:val="Normal"/>
    <w:next w:val="Normal"/>
    <w:autoRedefine/>
    <w:uiPriority w:val="39"/>
    <w:rsid w:val="00123CA8"/>
    <w:pPr>
      <w:tabs>
        <w:tab w:val="left" w:pos="800"/>
        <w:tab w:val="right" w:leader="dot" w:pos="9629"/>
      </w:tabs>
      <w:spacing w:after="40"/>
      <w:ind w:left="284"/>
    </w:pPr>
  </w:style>
  <w:style w:type="character" w:customStyle="1" w:styleId="ListBulletChar">
    <w:name w:val="List Bullet Char"/>
    <w:link w:val="ListBullet"/>
    <w:semiHidden/>
    <w:rsid w:val="00353861"/>
    <w:rPr>
      <w:rFonts w:ascii="Arial" w:hAnsi="Arial"/>
      <w:sz w:val="24"/>
      <w:szCs w:val="24"/>
    </w:rPr>
  </w:style>
  <w:style w:type="character" w:styleId="CommentReference">
    <w:name w:val="annotation reference"/>
    <w:semiHidden/>
    <w:rsid w:val="0000074A"/>
    <w:rPr>
      <w:sz w:val="16"/>
      <w:szCs w:val="16"/>
    </w:rPr>
  </w:style>
  <w:style w:type="paragraph" w:styleId="CommentText">
    <w:name w:val="annotation text"/>
    <w:basedOn w:val="Normal"/>
    <w:link w:val="CommentTextChar"/>
    <w:semiHidden/>
    <w:rsid w:val="0000074A"/>
    <w:rPr>
      <w:szCs w:val="20"/>
    </w:rPr>
  </w:style>
  <w:style w:type="paragraph" w:styleId="CommentSubject">
    <w:name w:val="annotation subject"/>
    <w:basedOn w:val="CommentText"/>
    <w:next w:val="CommentText"/>
    <w:semiHidden/>
    <w:rsid w:val="0000074A"/>
    <w:rPr>
      <w:b/>
      <w:bCs/>
    </w:rPr>
  </w:style>
  <w:style w:type="paragraph" w:styleId="BalloonText">
    <w:name w:val="Balloon Text"/>
    <w:basedOn w:val="Normal"/>
    <w:semiHidden/>
    <w:rsid w:val="0000074A"/>
    <w:rPr>
      <w:rFonts w:ascii="Tahoma" w:hAnsi="Tahoma" w:cs="Tahoma"/>
      <w:sz w:val="16"/>
      <w:szCs w:val="16"/>
    </w:rPr>
  </w:style>
  <w:style w:type="character" w:styleId="FollowedHyperlink">
    <w:name w:val="FollowedHyperlink"/>
    <w:semiHidden/>
    <w:rsid w:val="00C272CA"/>
    <w:rPr>
      <w:color w:val="800080"/>
      <w:u w:val="single"/>
    </w:rPr>
  </w:style>
  <w:style w:type="paragraph" w:styleId="BlockText">
    <w:name w:val="Block Text"/>
    <w:basedOn w:val="Normal"/>
    <w:semiHidden/>
    <w:rsid w:val="00B74521"/>
    <w:pPr>
      <w:ind w:left="1440" w:right="1440"/>
    </w:pPr>
  </w:style>
  <w:style w:type="paragraph" w:styleId="BodyText">
    <w:name w:val="Body Text"/>
    <w:basedOn w:val="Normal"/>
    <w:semiHidden/>
    <w:rsid w:val="00B74521"/>
  </w:style>
  <w:style w:type="paragraph" w:styleId="BodyText2">
    <w:name w:val="Body Text 2"/>
    <w:basedOn w:val="Normal"/>
    <w:semiHidden/>
    <w:rsid w:val="00B74521"/>
    <w:pPr>
      <w:spacing w:line="480" w:lineRule="auto"/>
    </w:pPr>
  </w:style>
  <w:style w:type="paragraph" w:styleId="BodyText3">
    <w:name w:val="Body Text 3"/>
    <w:basedOn w:val="Normal"/>
    <w:semiHidden/>
    <w:rsid w:val="00B74521"/>
    <w:rPr>
      <w:sz w:val="16"/>
      <w:szCs w:val="16"/>
    </w:rPr>
  </w:style>
  <w:style w:type="paragraph" w:styleId="BodyTextFirstIndent">
    <w:name w:val="Body Text First Indent"/>
    <w:basedOn w:val="BodyText"/>
    <w:semiHidden/>
    <w:rsid w:val="00B74521"/>
    <w:pPr>
      <w:ind w:firstLine="210"/>
    </w:pPr>
  </w:style>
  <w:style w:type="paragraph" w:styleId="BodyTextIndent">
    <w:name w:val="Body Text Indent"/>
    <w:basedOn w:val="Normal"/>
    <w:semiHidden/>
    <w:rsid w:val="00B74521"/>
    <w:pPr>
      <w:ind w:left="283"/>
    </w:pPr>
  </w:style>
  <w:style w:type="paragraph" w:styleId="BodyTextFirstIndent2">
    <w:name w:val="Body Text First Indent 2"/>
    <w:basedOn w:val="BodyTextIndent"/>
    <w:semiHidden/>
    <w:rsid w:val="00B74521"/>
    <w:pPr>
      <w:ind w:firstLine="210"/>
    </w:pPr>
  </w:style>
  <w:style w:type="paragraph" w:styleId="BodyTextIndent2">
    <w:name w:val="Body Text Indent 2"/>
    <w:basedOn w:val="Normal"/>
    <w:semiHidden/>
    <w:rsid w:val="00B74521"/>
    <w:pPr>
      <w:spacing w:line="480" w:lineRule="auto"/>
      <w:ind w:left="283"/>
    </w:pPr>
  </w:style>
  <w:style w:type="paragraph" w:styleId="BodyTextIndent3">
    <w:name w:val="Body Text Indent 3"/>
    <w:basedOn w:val="Normal"/>
    <w:semiHidden/>
    <w:rsid w:val="00B74521"/>
    <w:pPr>
      <w:ind w:left="283"/>
    </w:pPr>
    <w:rPr>
      <w:sz w:val="16"/>
      <w:szCs w:val="16"/>
    </w:rPr>
  </w:style>
  <w:style w:type="paragraph" w:styleId="Caption">
    <w:name w:val="caption"/>
    <w:basedOn w:val="Normal"/>
    <w:next w:val="Normal"/>
    <w:uiPriority w:val="3"/>
    <w:qFormat/>
    <w:rsid w:val="00B74521"/>
    <w:rPr>
      <w:b/>
      <w:bCs/>
      <w:szCs w:val="20"/>
    </w:rPr>
  </w:style>
  <w:style w:type="paragraph" w:styleId="Closing">
    <w:name w:val="Closing"/>
    <w:basedOn w:val="Normal"/>
    <w:semiHidden/>
    <w:rsid w:val="00B74521"/>
    <w:pPr>
      <w:ind w:left="4252"/>
    </w:pPr>
  </w:style>
  <w:style w:type="paragraph" w:styleId="Date">
    <w:name w:val="Date"/>
    <w:basedOn w:val="Normal"/>
    <w:next w:val="Normal"/>
    <w:semiHidden/>
    <w:rsid w:val="00B74521"/>
  </w:style>
  <w:style w:type="paragraph" w:styleId="DocumentMap">
    <w:name w:val="Document Map"/>
    <w:basedOn w:val="Normal"/>
    <w:semiHidden/>
    <w:rsid w:val="00B74521"/>
    <w:pPr>
      <w:shd w:val="clear" w:color="auto" w:fill="000080"/>
    </w:pPr>
    <w:rPr>
      <w:rFonts w:ascii="Tahoma" w:hAnsi="Tahoma" w:cs="Tahoma"/>
      <w:szCs w:val="20"/>
    </w:rPr>
  </w:style>
  <w:style w:type="paragraph" w:styleId="E-mailSignature">
    <w:name w:val="E-mail Signature"/>
    <w:basedOn w:val="Normal"/>
    <w:semiHidden/>
    <w:rsid w:val="00B74521"/>
  </w:style>
  <w:style w:type="paragraph" w:styleId="EndnoteText">
    <w:name w:val="endnote text"/>
    <w:basedOn w:val="Normal"/>
    <w:semiHidden/>
    <w:rsid w:val="00B74521"/>
    <w:rPr>
      <w:szCs w:val="20"/>
    </w:rPr>
  </w:style>
  <w:style w:type="paragraph" w:styleId="EnvelopeAddress">
    <w:name w:val="envelope address"/>
    <w:basedOn w:val="Normal"/>
    <w:semiHidden/>
    <w:rsid w:val="00B74521"/>
    <w:pPr>
      <w:framePr w:w="7920" w:h="1980" w:hRule="exact" w:hSpace="180" w:wrap="auto" w:hAnchor="page" w:xAlign="center" w:yAlign="bottom"/>
      <w:ind w:left="2880"/>
    </w:pPr>
    <w:rPr>
      <w:rFonts w:cs="Arial"/>
    </w:rPr>
  </w:style>
  <w:style w:type="paragraph" w:styleId="EnvelopeReturn">
    <w:name w:val="envelope return"/>
    <w:basedOn w:val="Normal"/>
    <w:semiHidden/>
    <w:rsid w:val="00B74521"/>
    <w:rPr>
      <w:rFonts w:cs="Arial"/>
      <w:szCs w:val="20"/>
    </w:rPr>
  </w:style>
  <w:style w:type="paragraph" w:styleId="FootnoteText">
    <w:name w:val="footnote text"/>
    <w:basedOn w:val="Normal"/>
    <w:semiHidden/>
    <w:rsid w:val="00B74521"/>
    <w:rPr>
      <w:szCs w:val="20"/>
    </w:rPr>
  </w:style>
  <w:style w:type="paragraph" w:styleId="HTMLAddress">
    <w:name w:val="HTML Address"/>
    <w:basedOn w:val="Normal"/>
    <w:semiHidden/>
    <w:rsid w:val="00B74521"/>
    <w:rPr>
      <w:i/>
      <w:iCs/>
    </w:rPr>
  </w:style>
  <w:style w:type="paragraph" w:styleId="HTMLPreformatted">
    <w:name w:val="HTML Preformatted"/>
    <w:basedOn w:val="Normal"/>
    <w:semiHidden/>
    <w:rsid w:val="00B74521"/>
    <w:rPr>
      <w:rFonts w:ascii="Courier New" w:hAnsi="Courier New" w:cs="Courier New"/>
      <w:szCs w:val="20"/>
    </w:rPr>
  </w:style>
  <w:style w:type="paragraph" w:styleId="Index1">
    <w:name w:val="index 1"/>
    <w:basedOn w:val="Normal"/>
    <w:next w:val="Normal"/>
    <w:autoRedefine/>
    <w:semiHidden/>
    <w:rsid w:val="00B74521"/>
    <w:pPr>
      <w:ind w:left="200" w:hanging="200"/>
    </w:pPr>
  </w:style>
  <w:style w:type="paragraph" w:styleId="Index2">
    <w:name w:val="index 2"/>
    <w:basedOn w:val="Normal"/>
    <w:next w:val="Normal"/>
    <w:autoRedefine/>
    <w:semiHidden/>
    <w:rsid w:val="00B74521"/>
    <w:pPr>
      <w:ind w:left="400" w:hanging="200"/>
    </w:pPr>
  </w:style>
  <w:style w:type="paragraph" w:styleId="Index3">
    <w:name w:val="index 3"/>
    <w:basedOn w:val="Normal"/>
    <w:next w:val="Normal"/>
    <w:autoRedefine/>
    <w:semiHidden/>
    <w:rsid w:val="00B74521"/>
    <w:pPr>
      <w:ind w:left="600" w:hanging="200"/>
    </w:pPr>
  </w:style>
  <w:style w:type="paragraph" w:styleId="Index4">
    <w:name w:val="index 4"/>
    <w:basedOn w:val="Normal"/>
    <w:next w:val="Normal"/>
    <w:autoRedefine/>
    <w:semiHidden/>
    <w:rsid w:val="00B74521"/>
    <w:pPr>
      <w:ind w:left="800" w:hanging="200"/>
    </w:pPr>
  </w:style>
  <w:style w:type="paragraph" w:styleId="Index5">
    <w:name w:val="index 5"/>
    <w:basedOn w:val="Normal"/>
    <w:next w:val="Normal"/>
    <w:autoRedefine/>
    <w:semiHidden/>
    <w:rsid w:val="00B74521"/>
    <w:pPr>
      <w:ind w:left="1000" w:hanging="200"/>
    </w:pPr>
  </w:style>
  <w:style w:type="paragraph" w:styleId="Index6">
    <w:name w:val="index 6"/>
    <w:basedOn w:val="Normal"/>
    <w:next w:val="Normal"/>
    <w:autoRedefine/>
    <w:semiHidden/>
    <w:rsid w:val="00B74521"/>
    <w:pPr>
      <w:ind w:left="1200" w:hanging="200"/>
    </w:pPr>
  </w:style>
  <w:style w:type="paragraph" w:styleId="Index7">
    <w:name w:val="index 7"/>
    <w:basedOn w:val="Normal"/>
    <w:next w:val="Normal"/>
    <w:autoRedefine/>
    <w:semiHidden/>
    <w:rsid w:val="00B74521"/>
    <w:pPr>
      <w:ind w:left="1400" w:hanging="200"/>
    </w:pPr>
  </w:style>
  <w:style w:type="paragraph" w:styleId="Index8">
    <w:name w:val="index 8"/>
    <w:basedOn w:val="Normal"/>
    <w:next w:val="Normal"/>
    <w:autoRedefine/>
    <w:semiHidden/>
    <w:rsid w:val="00B74521"/>
    <w:pPr>
      <w:ind w:left="1600" w:hanging="200"/>
    </w:pPr>
  </w:style>
  <w:style w:type="paragraph" w:styleId="Index9">
    <w:name w:val="index 9"/>
    <w:basedOn w:val="Normal"/>
    <w:next w:val="Normal"/>
    <w:autoRedefine/>
    <w:semiHidden/>
    <w:rsid w:val="00B74521"/>
    <w:pPr>
      <w:ind w:left="1800" w:hanging="200"/>
    </w:pPr>
  </w:style>
  <w:style w:type="paragraph" w:styleId="IndexHeading">
    <w:name w:val="index heading"/>
    <w:basedOn w:val="Normal"/>
    <w:next w:val="Index1"/>
    <w:semiHidden/>
    <w:rsid w:val="00B74521"/>
    <w:rPr>
      <w:rFonts w:cs="Arial"/>
      <w:b/>
      <w:bCs/>
    </w:rPr>
  </w:style>
  <w:style w:type="paragraph" w:styleId="List">
    <w:name w:val="List"/>
    <w:basedOn w:val="Normal"/>
    <w:semiHidden/>
    <w:rsid w:val="00B74521"/>
    <w:pPr>
      <w:ind w:left="283" w:hanging="283"/>
    </w:pPr>
  </w:style>
  <w:style w:type="paragraph" w:styleId="List2">
    <w:name w:val="List 2"/>
    <w:basedOn w:val="Normal"/>
    <w:semiHidden/>
    <w:rsid w:val="00B74521"/>
    <w:pPr>
      <w:ind w:left="566" w:hanging="283"/>
    </w:pPr>
  </w:style>
  <w:style w:type="paragraph" w:styleId="List3">
    <w:name w:val="List 3"/>
    <w:basedOn w:val="Normal"/>
    <w:semiHidden/>
    <w:rsid w:val="00B74521"/>
    <w:pPr>
      <w:ind w:left="849" w:hanging="283"/>
    </w:pPr>
  </w:style>
  <w:style w:type="paragraph" w:styleId="List4">
    <w:name w:val="List 4"/>
    <w:basedOn w:val="Normal"/>
    <w:semiHidden/>
    <w:rsid w:val="00B74521"/>
    <w:pPr>
      <w:ind w:left="1132" w:hanging="283"/>
    </w:pPr>
  </w:style>
  <w:style w:type="paragraph" w:styleId="List5">
    <w:name w:val="List 5"/>
    <w:basedOn w:val="Normal"/>
    <w:semiHidden/>
    <w:rsid w:val="00B74521"/>
    <w:pPr>
      <w:ind w:left="1415" w:hanging="283"/>
    </w:pPr>
  </w:style>
  <w:style w:type="paragraph" w:styleId="ListBullet2">
    <w:name w:val="List Bullet 2"/>
    <w:basedOn w:val="Normal"/>
    <w:semiHidden/>
    <w:rsid w:val="00B74521"/>
    <w:pPr>
      <w:numPr>
        <w:numId w:val="4"/>
      </w:numPr>
    </w:pPr>
  </w:style>
  <w:style w:type="paragraph" w:styleId="ListBullet3">
    <w:name w:val="List Bullet 3"/>
    <w:basedOn w:val="Normal"/>
    <w:semiHidden/>
    <w:rsid w:val="00B74521"/>
    <w:pPr>
      <w:numPr>
        <w:numId w:val="5"/>
      </w:numPr>
    </w:pPr>
  </w:style>
  <w:style w:type="paragraph" w:styleId="ListBullet4">
    <w:name w:val="List Bullet 4"/>
    <w:basedOn w:val="Normal"/>
    <w:semiHidden/>
    <w:rsid w:val="00B74521"/>
    <w:pPr>
      <w:numPr>
        <w:numId w:val="6"/>
      </w:numPr>
    </w:pPr>
  </w:style>
  <w:style w:type="paragraph" w:styleId="ListBullet5">
    <w:name w:val="List Bullet 5"/>
    <w:basedOn w:val="Normal"/>
    <w:semiHidden/>
    <w:rsid w:val="00B74521"/>
    <w:pPr>
      <w:numPr>
        <w:numId w:val="7"/>
      </w:numPr>
    </w:pPr>
  </w:style>
  <w:style w:type="paragraph" w:styleId="ListContinue">
    <w:name w:val="List Continue"/>
    <w:basedOn w:val="Normal"/>
    <w:semiHidden/>
    <w:rsid w:val="00B74521"/>
    <w:pPr>
      <w:ind w:left="283"/>
    </w:pPr>
  </w:style>
  <w:style w:type="paragraph" w:styleId="ListContinue2">
    <w:name w:val="List Continue 2"/>
    <w:basedOn w:val="Normal"/>
    <w:semiHidden/>
    <w:rsid w:val="00B74521"/>
    <w:pPr>
      <w:ind w:left="566"/>
    </w:pPr>
  </w:style>
  <w:style w:type="paragraph" w:styleId="ListContinue3">
    <w:name w:val="List Continue 3"/>
    <w:basedOn w:val="Normal"/>
    <w:semiHidden/>
    <w:rsid w:val="00B74521"/>
    <w:pPr>
      <w:ind w:left="849"/>
    </w:pPr>
  </w:style>
  <w:style w:type="paragraph" w:styleId="ListContinue4">
    <w:name w:val="List Continue 4"/>
    <w:basedOn w:val="Normal"/>
    <w:semiHidden/>
    <w:rsid w:val="00B74521"/>
    <w:pPr>
      <w:ind w:left="1132"/>
    </w:pPr>
  </w:style>
  <w:style w:type="paragraph" w:styleId="ListContinue5">
    <w:name w:val="List Continue 5"/>
    <w:basedOn w:val="Normal"/>
    <w:semiHidden/>
    <w:rsid w:val="00B74521"/>
    <w:pPr>
      <w:ind w:left="1415"/>
    </w:pPr>
  </w:style>
  <w:style w:type="paragraph" w:styleId="ListNumber">
    <w:name w:val="List Number"/>
    <w:basedOn w:val="Normal"/>
    <w:semiHidden/>
    <w:rsid w:val="00B74521"/>
    <w:pPr>
      <w:numPr>
        <w:numId w:val="8"/>
      </w:numPr>
    </w:pPr>
  </w:style>
  <w:style w:type="paragraph" w:styleId="ListNumber2">
    <w:name w:val="List Number 2"/>
    <w:basedOn w:val="Normal"/>
    <w:semiHidden/>
    <w:rsid w:val="00B74521"/>
    <w:pPr>
      <w:numPr>
        <w:numId w:val="9"/>
      </w:numPr>
    </w:pPr>
  </w:style>
  <w:style w:type="paragraph" w:styleId="ListNumber3">
    <w:name w:val="List Number 3"/>
    <w:basedOn w:val="Normal"/>
    <w:semiHidden/>
    <w:rsid w:val="00B74521"/>
    <w:pPr>
      <w:numPr>
        <w:numId w:val="10"/>
      </w:numPr>
    </w:pPr>
  </w:style>
  <w:style w:type="paragraph" w:styleId="ListNumber4">
    <w:name w:val="List Number 4"/>
    <w:basedOn w:val="Normal"/>
    <w:semiHidden/>
    <w:rsid w:val="00B74521"/>
    <w:pPr>
      <w:numPr>
        <w:numId w:val="11"/>
      </w:numPr>
    </w:pPr>
  </w:style>
  <w:style w:type="paragraph" w:styleId="ListNumber5">
    <w:name w:val="List Number 5"/>
    <w:basedOn w:val="Normal"/>
    <w:semiHidden/>
    <w:rsid w:val="00B74521"/>
    <w:pPr>
      <w:numPr>
        <w:numId w:val="12"/>
      </w:numPr>
    </w:pPr>
  </w:style>
  <w:style w:type="paragraph" w:styleId="MacroText">
    <w:name w:val="macro"/>
    <w:semiHidden/>
    <w:rsid w:val="00B745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B7452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rsid w:val="00B74521"/>
    <w:rPr>
      <w:rFonts w:ascii="Times New Roman" w:hAnsi="Times New Roman"/>
    </w:rPr>
  </w:style>
  <w:style w:type="paragraph" w:styleId="NormalIndent">
    <w:name w:val="Normal Indent"/>
    <w:basedOn w:val="Normal"/>
    <w:semiHidden/>
    <w:rsid w:val="00B74521"/>
    <w:pPr>
      <w:ind w:left="720"/>
    </w:pPr>
  </w:style>
  <w:style w:type="paragraph" w:styleId="NoteHeading">
    <w:name w:val="Note Heading"/>
    <w:basedOn w:val="Normal"/>
    <w:next w:val="Normal"/>
    <w:semiHidden/>
    <w:rsid w:val="00B74521"/>
  </w:style>
  <w:style w:type="paragraph" w:styleId="PlainText">
    <w:name w:val="Plain Text"/>
    <w:basedOn w:val="Normal"/>
    <w:semiHidden/>
    <w:rsid w:val="00B74521"/>
    <w:rPr>
      <w:rFonts w:ascii="Courier New" w:hAnsi="Courier New" w:cs="Courier New"/>
      <w:szCs w:val="20"/>
    </w:rPr>
  </w:style>
  <w:style w:type="paragraph" w:styleId="Salutation">
    <w:name w:val="Salutation"/>
    <w:basedOn w:val="Normal"/>
    <w:next w:val="Normal"/>
    <w:semiHidden/>
    <w:rsid w:val="00B74521"/>
  </w:style>
  <w:style w:type="paragraph" w:styleId="Signature">
    <w:name w:val="Signature"/>
    <w:basedOn w:val="Normal"/>
    <w:semiHidden/>
    <w:rsid w:val="00B74521"/>
    <w:pPr>
      <w:ind w:left="4252"/>
    </w:pPr>
  </w:style>
  <w:style w:type="paragraph" w:styleId="Subtitle">
    <w:name w:val="Subtitle"/>
    <w:basedOn w:val="Normal"/>
    <w:uiPriority w:val="4"/>
    <w:qFormat/>
    <w:rsid w:val="00B74521"/>
    <w:pPr>
      <w:spacing w:after="60"/>
      <w:jc w:val="center"/>
      <w:outlineLvl w:val="1"/>
    </w:pPr>
    <w:rPr>
      <w:rFonts w:cs="Arial"/>
    </w:rPr>
  </w:style>
  <w:style w:type="paragraph" w:styleId="TableofAuthorities">
    <w:name w:val="table of authorities"/>
    <w:basedOn w:val="Normal"/>
    <w:next w:val="Normal"/>
    <w:semiHidden/>
    <w:rsid w:val="00B74521"/>
    <w:pPr>
      <w:ind w:left="200" w:hanging="200"/>
    </w:pPr>
  </w:style>
  <w:style w:type="paragraph" w:styleId="TableofFigures">
    <w:name w:val="table of figures"/>
    <w:basedOn w:val="Normal"/>
    <w:next w:val="Normal"/>
    <w:semiHidden/>
    <w:rsid w:val="00B74521"/>
  </w:style>
  <w:style w:type="paragraph" w:styleId="Title">
    <w:name w:val="Title"/>
    <w:basedOn w:val="Normal"/>
    <w:qFormat/>
    <w:rsid w:val="00A43E03"/>
    <w:pPr>
      <w:spacing w:before="240" w:after="240"/>
      <w:outlineLvl w:val="0"/>
    </w:pPr>
    <w:rPr>
      <w:rFonts w:cs="Arial"/>
      <w:b/>
      <w:bCs/>
      <w:kern w:val="28"/>
      <w:sz w:val="40"/>
      <w:szCs w:val="32"/>
    </w:rPr>
  </w:style>
  <w:style w:type="paragraph" w:styleId="TOAHeading">
    <w:name w:val="toa heading"/>
    <w:basedOn w:val="Normal"/>
    <w:next w:val="Normal"/>
    <w:semiHidden/>
    <w:rsid w:val="00B74521"/>
    <w:pPr>
      <w:spacing w:before="120"/>
    </w:pPr>
    <w:rPr>
      <w:rFonts w:cs="Arial"/>
      <w:b/>
      <w:bCs/>
    </w:rPr>
  </w:style>
  <w:style w:type="paragraph" w:styleId="TOC4">
    <w:name w:val="toc 4"/>
    <w:basedOn w:val="Normal"/>
    <w:next w:val="Normal"/>
    <w:autoRedefine/>
    <w:semiHidden/>
    <w:rsid w:val="00B74521"/>
    <w:pPr>
      <w:ind w:left="600"/>
    </w:pPr>
  </w:style>
  <w:style w:type="paragraph" w:styleId="TOC5">
    <w:name w:val="toc 5"/>
    <w:basedOn w:val="Normal"/>
    <w:next w:val="Normal"/>
    <w:autoRedefine/>
    <w:semiHidden/>
    <w:rsid w:val="00B74521"/>
    <w:pPr>
      <w:ind w:left="800"/>
    </w:pPr>
  </w:style>
  <w:style w:type="paragraph" w:styleId="TOC6">
    <w:name w:val="toc 6"/>
    <w:basedOn w:val="Normal"/>
    <w:next w:val="Normal"/>
    <w:autoRedefine/>
    <w:semiHidden/>
    <w:rsid w:val="00B74521"/>
    <w:pPr>
      <w:ind w:left="1000"/>
    </w:pPr>
  </w:style>
  <w:style w:type="paragraph" w:styleId="TOC7">
    <w:name w:val="toc 7"/>
    <w:basedOn w:val="Normal"/>
    <w:next w:val="Normal"/>
    <w:autoRedefine/>
    <w:semiHidden/>
    <w:rsid w:val="00B74521"/>
    <w:pPr>
      <w:ind w:left="1200"/>
    </w:pPr>
  </w:style>
  <w:style w:type="paragraph" w:styleId="TOC8">
    <w:name w:val="toc 8"/>
    <w:basedOn w:val="Normal"/>
    <w:next w:val="Normal"/>
    <w:autoRedefine/>
    <w:semiHidden/>
    <w:rsid w:val="00B74521"/>
    <w:pPr>
      <w:ind w:left="1400"/>
    </w:pPr>
  </w:style>
  <w:style w:type="paragraph" w:styleId="TOC9">
    <w:name w:val="toc 9"/>
    <w:basedOn w:val="Normal"/>
    <w:next w:val="Normal"/>
    <w:autoRedefine/>
    <w:semiHidden/>
    <w:rsid w:val="00B74521"/>
    <w:pPr>
      <w:ind w:left="1600"/>
    </w:pPr>
  </w:style>
  <w:style w:type="table" w:styleId="TableGrid">
    <w:name w:val="Table Grid"/>
    <w:basedOn w:val="TableNormal"/>
    <w:uiPriority w:val="59"/>
    <w:rsid w:val="00A90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e">
    <w:name w:val="NoSpace"/>
    <w:basedOn w:val="Normal"/>
    <w:uiPriority w:val="3"/>
    <w:rsid w:val="00196C77"/>
    <w:pPr>
      <w:spacing w:after="0"/>
    </w:pPr>
  </w:style>
  <w:style w:type="paragraph" w:customStyle="1" w:styleId="ReportTitle">
    <w:name w:val="ReportTitle"/>
    <w:basedOn w:val="Normal"/>
    <w:next w:val="Normal"/>
    <w:uiPriority w:val="4"/>
    <w:semiHidden/>
    <w:qFormat/>
    <w:rsid w:val="001B008E"/>
    <w:pPr>
      <w:spacing w:before="240" w:after="240"/>
    </w:pPr>
    <w:rPr>
      <w:b/>
      <w:sz w:val="40"/>
    </w:rPr>
  </w:style>
  <w:style w:type="paragraph" w:customStyle="1" w:styleId="Bulleted">
    <w:name w:val="Bulleted"/>
    <w:basedOn w:val="Normal"/>
    <w:uiPriority w:val="2"/>
    <w:qFormat/>
    <w:rsid w:val="00730AA5"/>
    <w:pPr>
      <w:numPr>
        <w:numId w:val="13"/>
      </w:numPr>
      <w:spacing w:after="60"/>
    </w:pPr>
  </w:style>
  <w:style w:type="paragraph" w:customStyle="1" w:styleId="Numbered">
    <w:name w:val="Numbered"/>
    <w:basedOn w:val="Normal"/>
    <w:uiPriority w:val="2"/>
    <w:qFormat/>
    <w:rsid w:val="00730AA5"/>
  </w:style>
  <w:style w:type="character" w:styleId="IntenseEmphasis">
    <w:name w:val="Intense Emphasis"/>
    <w:uiPriority w:val="21"/>
    <w:qFormat/>
    <w:rsid w:val="00E72DDF"/>
    <w:rPr>
      <w:b/>
      <w:bCs/>
      <w:i/>
      <w:iCs/>
      <w:color w:val="4F81BD"/>
    </w:rPr>
  </w:style>
  <w:style w:type="character" w:styleId="Strong">
    <w:name w:val="Strong"/>
    <w:qFormat/>
    <w:rsid w:val="00120452"/>
    <w:rPr>
      <w:b/>
      <w:bCs/>
    </w:rPr>
  </w:style>
  <w:style w:type="paragraph" w:customStyle="1" w:styleId="Default">
    <w:name w:val="Default"/>
    <w:rsid w:val="00DB31F7"/>
    <w:pPr>
      <w:autoSpaceDE w:val="0"/>
      <w:autoSpaceDN w:val="0"/>
      <w:adjustRightInd w:val="0"/>
    </w:pPr>
    <w:rPr>
      <w:rFonts w:ascii="Arial" w:hAnsi="Arial" w:cs="Arial"/>
      <w:color w:val="000000"/>
      <w:sz w:val="24"/>
      <w:szCs w:val="24"/>
    </w:rPr>
  </w:style>
  <w:style w:type="character" w:customStyle="1" w:styleId="downloaddetail1">
    <w:name w:val="downloaddetail1"/>
    <w:rsid w:val="00744E82"/>
    <w:rPr>
      <w:rFonts w:cs="Times New Roman"/>
      <w:color w:val="666666"/>
      <w:sz w:val="22"/>
      <w:szCs w:val="22"/>
    </w:rPr>
  </w:style>
  <w:style w:type="character" w:customStyle="1" w:styleId="downloaddoc">
    <w:name w:val="downloaddoc"/>
    <w:basedOn w:val="DefaultParagraphFont"/>
    <w:rsid w:val="00744E82"/>
  </w:style>
  <w:style w:type="paragraph" w:customStyle="1" w:styleId="Tabletextbullet">
    <w:name w:val="Table text bullet"/>
    <w:basedOn w:val="Normal"/>
    <w:rsid w:val="00484FC1"/>
    <w:pPr>
      <w:numPr>
        <w:numId w:val="23"/>
      </w:numPr>
      <w:tabs>
        <w:tab w:val="left" w:pos="567"/>
      </w:tabs>
      <w:spacing w:before="60" w:after="60"/>
      <w:contextualSpacing/>
    </w:pPr>
    <w:rPr>
      <w:rFonts w:ascii="Tahoma" w:hAnsi="Tahoma"/>
      <w:color w:val="000000"/>
      <w:sz w:val="22"/>
      <w:lang w:eastAsia="en-US"/>
    </w:rPr>
  </w:style>
  <w:style w:type="paragraph" w:customStyle="1" w:styleId="Tableheader-left">
    <w:name w:val="Table header - left"/>
    <w:basedOn w:val="Normal"/>
    <w:rsid w:val="00484FC1"/>
    <w:pPr>
      <w:spacing w:before="60" w:after="60"/>
      <w:contextualSpacing/>
    </w:pPr>
    <w:rPr>
      <w:rFonts w:ascii="Tahoma" w:hAnsi="Tahoma"/>
      <w:b/>
      <w:bCs/>
      <w:color w:val="000000"/>
      <w:sz w:val="22"/>
      <w:szCs w:val="20"/>
      <w:lang w:eastAsia="en-US"/>
    </w:rPr>
  </w:style>
  <w:style w:type="paragraph" w:customStyle="1" w:styleId="Tabletext-left">
    <w:name w:val="Table text - left"/>
    <w:basedOn w:val="Normal"/>
    <w:link w:val="Tabletext-leftChar"/>
    <w:rsid w:val="00484FC1"/>
    <w:pPr>
      <w:spacing w:before="60" w:after="60"/>
      <w:contextualSpacing/>
    </w:pPr>
    <w:rPr>
      <w:rFonts w:ascii="Tahoma" w:hAnsi="Tahoma"/>
      <w:color w:val="000000"/>
      <w:sz w:val="22"/>
      <w:lang w:eastAsia="en-US"/>
    </w:rPr>
  </w:style>
  <w:style w:type="character" w:customStyle="1" w:styleId="Tabletext-leftChar">
    <w:name w:val="Table text - left Char"/>
    <w:link w:val="Tabletext-left"/>
    <w:locked/>
    <w:rsid w:val="00484FC1"/>
    <w:rPr>
      <w:rFonts w:ascii="Tahoma" w:hAnsi="Tahoma"/>
      <w:color w:val="000000"/>
      <w:sz w:val="22"/>
      <w:szCs w:val="24"/>
      <w:lang w:val="en-GB" w:eastAsia="en-US" w:bidi="ar-SA"/>
    </w:rPr>
  </w:style>
  <w:style w:type="character" w:customStyle="1" w:styleId="HeaderChar">
    <w:name w:val="Header Char"/>
    <w:link w:val="Header"/>
    <w:locked/>
    <w:rsid w:val="00CC3F43"/>
    <w:rPr>
      <w:rFonts w:ascii="Arial" w:hAnsi="Arial"/>
      <w:sz w:val="24"/>
      <w:szCs w:val="24"/>
      <w:lang w:val="en-GB" w:eastAsia="en-GB" w:bidi="ar-SA"/>
    </w:rPr>
  </w:style>
  <w:style w:type="paragraph" w:styleId="NoSpacing">
    <w:name w:val="No Spacing"/>
    <w:uiPriority w:val="1"/>
    <w:qFormat/>
    <w:rsid w:val="00CC3F43"/>
    <w:rPr>
      <w:rFonts w:ascii="Calibri" w:hAnsi="Calibri"/>
      <w:sz w:val="24"/>
      <w:szCs w:val="22"/>
    </w:rPr>
  </w:style>
  <w:style w:type="paragraph" w:styleId="ListParagraph">
    <w:name w:val="List Paragraph"/>
    <w:basedOn w:val="Normal"/>
    <w:uiPriority w:val="34"/>
    <w:qFormat/>
    <w:rsid w:val="00294904"/>
    <w:pPr>
      <w:spacing w:after="200" w:line="276" w:lineRule="auto"/>
      <w:ind w:left="720"/>
      <w:contextualSpacing/>
    </w:pPr>
    <w:rPr>
      <w:rFonts w:ascii="Calibri" w:hAnsi="Calibri"/>
      <w:sz w:val="22"/>
      <w:szCs w:val="22"/>
    </w:rPr>
  </w:style>
  <w:style w:type="character" w:customStyle="1" w:styleId="BulletskeyfindingsChar">
    <w:name w:val="Bullets (key findings) Char"/>
    <w:link w:val="Bulletskeyfindings"/>
    <w:locked/>
    <w:rsid w:val="006A3111"/>
    <w:rPr>
      <w:rFonts w:ascii="Tahoma" w:hAnsi="Tahoma"/>
      <w:color w:val="000000"/>
      <w:lang w:bidi="ar-SA"/>
    </w:rPr>
  </w:style>
  <w:style w:type="paragraph" w:customStyle="1" w:styleId="Bulletskeyfindings">
    <w:name w:val="Bullets (key findings)"/>
    <w:basedOn w:val="Normal"/>
    <w:link w:val="BulletskeyfindingsChar"/>
    <w:rsid w:val="006A3111"/>
    <w:pPr>
      <w:ind w:left="1003" w:hanging="360"/>
    </w:pPr>
    <w:rPr>
      <w:rFonts w:ascii="Tahoma" w:hAnsi="Tahoma"/>
      <w:color w:val="000000"/>
      <w:sz w:val="20"/>
      <w:szCs w:val="20"/>
      <w:lang w:val="x-none" w:eastAsia="x-none"/>
    </w:rPr>
  </w:style>
  <w:style w:type="paragraph" w:styleId="Revision">
    <w:name w:val="Revision"/>
    <w:hidden/>
    <w:uiPriority w:val="99"/>
    <w:semiHidden/>
    <w:rsid w:val="003A3D7A"/>
    <w:rPr>
      <w:rFonts w:ascii="Arial" w:hAnsi="Arial"/>
      <w:sz w:val="24"/>
      <w:szCs w:val="24"/>
    </w:rPr>
  </w:style>
  <w:style w:type="character" w:customStyle="1" w:styleId="CommentTextChar">
    <w:name w:val="Comment Text Char"/>
    <w:link w:val="CommentText"/>
    <w:semiHidden/>
    <w:rsid w:val="007A4D1D"/>
    <w:rPr>
      <w:rFonts w:ascii="Arial" w:hAnsi="Arial"/>
      <w:sz w:val="24"/>
    </w:rPr>
  </w:style>
  <w:style w:type="character" w:customStyle="1" w:styleId="Heading3Char">
    <w:name w:val="Heading 3 Char"/>
    <w:link w:val="Heading3"/>
    <w:uiPriority w:val="1"/>
    <w:rsid w:val="00D21385"/>
    <w:rPr>
      <w:rFonts w:ascii="Arial" w:hAnsi="Arial" w:cs="Arial"/>
      <w:b/>
      <w:bCs/>
      <w:sz w:val="24"/>
      <w:szCs w:val="26"/>
    </w:rPr>
  </w:style>
  <w:style w:type="character" w:customStyle="1" w:styleId="UnresolvedMention1">
    <w:name w:val="Unresolved Mention1"/>
    <w:basedOn w:val="DefaultParagraphFont"/>
    <w:uiPriority w:val="99"/>
    <w:semiHidden/>
    <w:unhideWhenUsed/>
    <w:rsid w:val="00830670"/>
    <w:rPr>
      <w:color w:val="605E5C"/>
      <w:shd w:val="clear" w:color="auto" w:fill="E1DFDD"/>
    </w:rPr>
  </w:style>
  <w:style w:type="character" w:customStyle="1" w:styleId="normaltextrun">
    <w:name w:val="normaltextrun"/>
    <w:basedOn w:val="DefaultParagraphFont"/>
    <w:rsid w:val="001B576D"/>
  </w:style>
  <w:style w:type="character" w:customStyle="1" w:styleId="eop">
    <w:name w:val="eop"/>
    <w:basedOn w:val="DefaultParagraphFont"/>
    <w:rsid w:val="001B576D"/>
  </w:style>
  <w:style w:type="paragraph" w:customStyle="1" w:styleId="paragraph">
    <w:name w:val="paragraph"/>
    <w:basedOn w:val="Normal"/>
    <w:rsid w:val="001550F4"/>
    <w:pPr>
      <w:spacing w:before="100" w:beforeAutospacing="1" w:after="100" w:afterAutospacing="1"/>
    </w:pPr>
    <w:rPr>
      <w:rFonts w:ascii="Times New Roman" w:hAnsi="Times New Roman"/>
    </w:rPr>
  </w:style>
  <w:style w:type="paragraph" w:customStyle="1" w:styleId="aLCPHeading">
    <w:name w:val="a LCP Heading"/>
    <w:basedOn w:val="Heading1"/>
    <w:autoRedefine/>
    <w:rsid w:val="00BC5B71"/>
    <w:pPr>
      <w:widowControl w:val="0"/>
      <w:suppressAutoHyphens/>
      <w:spacing w:before="0" w:after="0"/>
      <w:jc w:val="center"/>
    </w:pPr>
    <w:rPr>
      <w:bCs w:val="0"/>
      <w:color w:val="auto"/>
      <w:kern w:val="0"/>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4790">
      <w:bodyDiv w:val="1"/>
      <w:marLeft w:val="0"/>
      <w:marRight w:val="0"/>
      <w:marTop w:val="0"/>
      <w:marBottom w:val="0"/>
      <w:divBdr>
        <w:top w:val="none" w:sz="0" w:space="0" w:color="auto"/>
        <w:left w:val="none" w:sz="0" w:space="0" w:color="auto"/>
        <w:bottom w:val="none" w:sz="0" w:space="0" w:color="auto"/>
        <w:right w:val="none" w:sz="0" w:space="0" w:color="auto"/>
      </w:divBdr>
    </w:div>
    <w:div w:id="87511038">
      <w:bodyDiv w:val="1"/>
      <w:marLeft w:val="0"/>
      <w:marRight w:val="0"/>
      <w:marTop w:val="0"/>
      <w:marBottom w:val="0"/>
      <w:divBdr>
        <w:top w:val="none" w:sz="0" w:space="0" w:color="auto"/>
        <w:left w:val="none" w:sz="0" w:space="0" w:color="auto"/>
        <w:bottom w:val="none" w:sz="0" w:space="0" w:color="auto"/>
        <w:right w:val="none" w:sz="0" w:space="0" w:color="auto"/>
      </w:divBdr>
    </w:div>
    <w:div w:id="212427309">
      <w:bodyDiv w:val="1"/>
      <w:marLeft w:val="0"/>
      <w:marRight w:val="0"/>
      <w:marTop w:val="0"/>
      <w:marBottom w:val="0"/>
      <w:divBdr>
        <w:top w:val="none" w:sz="0" w:space="0" w:color="auto"/>
        <w:left w:val="none" w:sz="0" w:space="0" w:color="auto"/>
        <w:bottom w:val="none" w:sz="0" w:space="0" w:color="auto"/>
        <w:right w:val="none" w:sz="0" w:space="0" w:color="auto"/>
      </w:divBdr>
    </w:div>
    <w:div w:id="432093512">
      <w:bodyDiv w:val="1"/>
      <w:marLeft w:val="0"/>
      <w:marRight w:val="0"/>
      <w:marTop w:val="0"/>
      <w:marBottom w:val="0"/>
      <w:divBdr>
        <w:top w:val="none" w:sz="0" w:space="0" w:color="auto"/>
        <w:left w:val="none" w:sz="0" w:space="0" w:color="auto"/>
        <w:bottom w:val="none" w:sz="0" w:space="0" w:color="auto"/>
        <w:right w:val="none" w:sz="0" w:space="0" w:color="auto"/>
      </w:divBdr>
    </w:div>
    <w:div w:id="1106315731">
      <w:bodyDiv w:val="1"/>
      <w:marLeft w:val="0"/>
      <w:marRight w:val="0"/>
      <w:marTop w:val="0"/>
      <w:marBottom w:val="0"/>
      <w:divBdr>
        <w:top w:val="none" w:sz="0" w:space="0" w:color="auto"/>
        <w:left w:val="none" w:sz="0" w:space="0" w:color="auto"/>
        <w:bottom w:val="none" w:sz="0" w:space="0" w:color="auto"/>
        <w:right w:val="none" w:sz="0" w:space="0" w:color="auto"/>
      </w:divBdr>
    </w:div>
    <w:div w:id="1301838888">
      <w:bodyDiv w:val="1"/>
      <w:marLeft w:val="0"/>
      <w:marRight w:val="0"/>
      <w:marTop w:val="0"/>
      <w:marBottom w:val="0"/>
      <w:divBdr>
        <w:top w:val="none" w:sz="0" w:space="0" w:color="auto"/>
        <w:left w:val="none" w:sz="0" w:space="0" w:color="auto"/>
        <w:bottom w:val="none" w:sz="0" w:space="0" w:color="auto"/>
        <w:right w:val="none" w:sz="0" w:space="0" w:color="auto"/>
      </w:divBdr>
    </w:div>
    <w:div w:id="1309020996">
      <w:bodyDiv w:val="1"/>
      <w:marLeft w:val="0"/>
      <w:marRight w:val="0"/>
      <w:marTop w:val="0"/>
      <w:marBottom w:val="0"/>
      <w:divBdr>
        <w:top w:val="none" w:sz="0" w:space="0" w:color="auto"/>
        <w:left w:val="none" w:sz="0" w:space="0" w:color="auto"/>
        <w:bottom w:val="none" w:sz="0" w:space="0" w:color="auto"/>
        <w:right w:val="none" w:sz="0" w:space="0" w:color="auto"/>
      </w:divBdr>
      <w:divsChild>
        <w:div w:id="1903636955">
          <w:marLeft w:val="0"/>
          <w:marRight w:val="0"/>
          <w:marTop w:val="0"/>
          <w:marBottom w:val="0"/>
          <w:divBdr>
            <w:top w:val="none" w:sz="0" w:space="0" w:color="auto"/>
            <w:left w:val="none" w:sz="0" w:space="0" w:color="auto"/>
            <w:bottom w:val="none" w:sz="0" w:space="0" w:color="auto"/>
            <w:right w:val="none" w:sz="0" w:space="0" w:color="auto"/>
          </w:divBdr>
        </w:div>
        <w:div w:id="1770545063">
          <w:marLeft w:val="0"/>
          <w:marRight w:val="0"/>
          <w:marTop w:val="0"/>
          <w:marBottom w:val="0"/>
          <w:divBdr>
            <w:top w:val="none" w:sz="0" w:space="0" w:color="auto"/>
            <w:left w:val="none" w:sz="0" w:space="0" w:color="auto"/>
            <w:bottom w:val="none" w:sz="0" w:space="0" w:color="auto"/>
            <w:right w:val="none" w:sz="0" w:space="0" w:color="auto"/>
          </w:divBdr>
        </w:div>
        <w:div w:id="1821774548">
          <w:marLeft w:val="0"/>
          <w:marRight w:val="0"/>
          <w:marTop w:val="0"/>
          <w:marBottom w:val="0"/>
          <w:divBdr>
            <w:top w:val="none" w:sz="0" w:space="0" w:color="auto"/>
            <w:left w:val="none" w:sz="0" w:space="0" w:color="auto"/>
            <w:bottom w:val="none" w:sz="0" w:space="0" w:color="auto"/>
            <w:right w:val="none" w:sz="0" w:space="0" w:color="auto"/>
          </w:divBdr>
        </w:div>
      </w:divsChild>
    </w:div>
    <w:div w:id="1685858624">
      <w:bodyDiv w:val="1"/>
      <w:marLeft w:val="0"/>
      <w:marRight w:val="0"/>
      <w:marTop w:val="0"/>
      <w:marBottom w:val="0"/>
      <w:divBdr>
        <w:top w:val="none" w:sz="0" w:space="0" w:color="auto"/>
        <w:left w:val="none" w:sz="0" w:space="0" w:color="auto"/>
        <w:bottom w:val="none" w:sz="0" w:space="0" w:color="auto"/>
        <w:right w:val="none" w:sz="0" w:space="0" w:color="auto"/>
      </w:divBdr>
      <w:divsChild>
        <w:div w:id="307436295">
          <w:marLeft w:val="0"/>
          <w:marRight w:val="0"/>
          <w:marTop w:val="0"/>
          <w:marBottom w:val="0"/>
          <w:divBdr>
            <w:top w:val="none" w:sz="0" w:space="0" w:color="auto"/>
            <w:left w:val="none" w:sz="0" w:space="0" w:color="auto"/>
            <w:bottom w:val="none" w:sz="0" w:space="0" w:color="auto"/>
            <w:right w:val="none" w:sz="0" w:space="0" w:color="auto"/>
          </w:divBdr>
          <w:divsChild>
            <w:div w:id="1511723593">
              <w:marLeft w:val="0"/>
              <w:marRight w:val="450"/>
              <w:marTop w:val="0"/>
              <w:marBottom w:val="600"/>
              <w:divBdr>
                <w:top w:val="none" w:sz="0" w:space="0" w:color="auto"/>
                <w:left w:val="none" w:sz="0" w:space="0" w:color="auto"/>
                <w:bottom w:val="none" w:sz="0" w:space="0" w:color="auto"/>
                <w:right w:val="none" w:sz="0" w:space="0" w:color="auto"/>
              </w:divBdr>
              <w:divsChild>
                <w:div w:id="1655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2499">
      <w:bodyDiv w:val="1"/>
      <w:marLeft w:val="0"/>
      <w:marRight w:val="0"/>
      <w:marTop w:val="0"/>
      <w:marBottom w:val="0"/>
      <w:divBdr>
        <w:top w:val="none" w:sz="0" w:space="0" w:color="auto"/>
        <w:left w:val="none" w:sz="0" w:space="0" w:color="auto"/>
        <w:bottom w:val="none" w:sz="0" w:space="0" w:color="auto"/>
        <w:right w:val="none" w:sz="0" w:space="0" w:color="auto"/>
      </w:divBdr>
    </w:div>
    <w:div w:id="1842701868">
      <w:bodyDiv w:val="1"/>
      <w:marLeft w:val="0"/>
      <w:marRight w:val="0"/>
      <w:marTop w:val="0"/>
      <w:marBottom w:val="0"/>
      <w:divBdr>
        <w:top w:val="none" w:sz="0" w:space="0" w:color="auto"/>
        <w:left w:val="none" w:sz="0" w:space="0" w:color="auto"/>
        <w:bottom w:val="none" w:sz="0" w:space="0" w:color="auto"/>
        <w:right w:val="none" w:sz="0" w:space="0" w:color="auto"/>
      </w:divBdr>
    </w:div>
    <w:div w:id="185468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astsussex.gov.uk/" TargetMode="External"/><Relationship Id="rId18" Type="http://schemas.openxmlformats.org/officeDocument/2006/relationships/hyperlink" Target="https://plumptonrobins.wordpress.com/" TargetMode="External"/><Relationship Id="rId26" Type="http://schemas.openxmlformats.org/officeDocument/2006/relationships/footer" Target="footer2.xml"/><Relationship Id="rId39" Type="http://schemas.openxmlformats.org/officeDocument/2006/relationships/hyperlink" Target="https://www.gov.uk/government/publications/school-teachers-pay-and-conditions" TargetMode="External"/><Relationship Id="rId21" Type="http://schemas.openxmlformats.org/officeDocument/2006/relationships/hyperlink" Target="mailto:" TargetMode="External"/><Relationship Id="rId34" Type="http://schemas.openxmlformats.org/officeDocument/2006/relationships/hyperlink" Target="https://www.teachers.org.uk/files/200623__Equality_Guidance_Final.pdf" TargetMode="Externa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yperlink" Target="https://set.et-foundation.co.uk/professionalism/qtls/equivalence-of-qtls-and-qts/" TargetMode="External"/><Relationship Id="rId41" Type="http://schemas.openxmlformats.org/officeDocument/2006/relationships/hyperlink" Target="https://www.gov.uk/government/publications/reviewing-and-revising-school-teachers-pa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https://get-information-schools.service.gov.uk/" TargetMode="External"/><Relationship Id="rId37" Type="http://schemas.openxmlformats.org/officeDocument/2006/relationships/hyperlink" Target="mailto:job.evaluation@eastsussex.gov.uk" TargetMode="External"/><Relationship Id="rId40" Type="http://schemas.openxmlformats.org/officeDocument/2006/relationships/hyperlink" Target="https://www.gov.uk/government/collections/teachers-standards"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www.eastsussex.gov.uk/jobs/benefits/pay/" TargetMode="Externa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hyperlink" Target="https://schools-financial-benchmarking.service.gov.uk/school/detail?urn=23456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gif"/><Relationship Id="rId22" Type="http://schemas.openxmlformats.org/officeDocument/2006/relationships/hyperlink" Target="mailto:janet.bowen@eastsussex.gov.uk" TargetMode="External"/><Relationship Id="rId27" Type="http://schemas.openxmlformats.org/officeDocument/2006/relationships/header" Target="header3.xml"/><Relationship Id="rId30" Type="http://schemas.openxmlformats.org/officeDocument/2006/relationships/hyperlink" Target="https://www.gov.uk/government/publications/esfa-update-2-september-2020/esfa-update-local-authorities-2-september-2020" TargetMode="External"/><Relationship Id="rId35" Type="http://schemas.openxmlformats.org/officeDocument/2006/relationships/hyperlink" Target="https://www.gov.uk/government/publications/reviewing-and-revising-school-teachers-pay" TargetMode="Externa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footer" Target="footer1.xml"/><Relationship Id="rId33" Type="http://schemas.openxmlformats.org/officeDocument/2006/relationships/hyperlink" Target="https://www.gov.uk/guidance/what-maintained-schools-must-publish-online" TargetMode="External"/><Relationship Id="rId38" Type="http://schemas.openxmlformats.org/officeDocument/2006/relationships/hyperlink" Target="mailto:job.evaluation@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aff16a55-4394-436d-99d6-2892369010ec">2020-10-28T00:00:00+00:00</Review_x0020_Date>
    <Webshop_x0020_Location xmlns="aff16a55-4394-436d-99d6-2892369010ec">
      <Url xsi:nil="true"/>
      <Description xsi:nil="true"/>
    </Webshop_x0020_Location>
    <PT01_x0020_PSU xmlns="aff16a55-4394-436d-99d6-2892369010ec">No</PT01_x0020_PSU>
    <TaxCatchAll xmlns="0edbdf58-cbf2-428a-80ab-aedffcd2a497">
      <Value>2</Value>
      <Value>6</Value>
    </TaxCatchAll>
    <Launch_x0020_Date xmlns="9247a8ba-6f59-4058-a2ca-129acc8b079d">2020-10-28T00:00:00+00:00</Launch_x0020_Date>
    <Protective_x0020_Marking xmlns="0edbdf58-cbf2-428a-80ab-aedffcd2a497">OFFICIAL – DISCLOSABLE</Protective_x0020_Marking>
    <PT03_x0020_ADV xmlns="aff16a55-4394-436d-99d6-2892369010ec">Yes</PT03_x0020_ADV>
    <PT02_x0020_HS xmlns="aff16a55-4394-436d-99d6-2892369010ec">No</PT02_x0020_HS>
    <PT04_x0020_REC xmlns="aff16a55-4394-436d-99d6-2892369010ec">No</PT04_x0020_REC>
    <SourceUrl xmlns="aff16a55-4394-436d-99d6-2892369010ec">
      <Url xsi:nil="true"/>
      <Description xsi:nil="true"/>
    </SourceUrl>
    <Live_x0020_Policy xmlns="aff16a55-4394-436d-99d6-2892369010ec">Yes</Live_x0020_Policy>
    <SourceLibrary xmlns="aff16a55-4394-436d-99d6-2892369010ec" xsi:nil="true"/>
    <Intranet_x0020_Location xmlns="aff16a55-4394-436d-99d6-2892369010ec">
      <Url xsi:nil="true"/>
      <Description xsi:nil="true"/>
    </Intranet_x0020_Location>
    <nc0f1aa2c1d9443a8a05db9738a0b1b3 xmlns="0edbdf58-cbf2-428a-80ab-aedffcd2a497">
      <Terms xmlns="http://schemas.microsoft.com/office/infopath/2007/PartnerControls">
        <TermInfo xmlns="http://schemas.microsoft.com/office/infopath/2007/PartnerControls">
          <TermName>Policy</TermName>
          <TermId>64f3b0cb-aba1-46e8-9324-d156c822b1e5</TermId>
        </TermInfo>
      </Terms>
    </nc0f1aa2c1d9443a8a05db9738a0b1b3>
    <Website_x0020_Location xmlns="aff16a55-4394-436d-99d6-2892369010ec">
      <Url xsi:nil="true"/>
      <Description xsi:nil="true"/>
    </Website_x0020_Location>
    <Topic xmlns="aff16a55-4394-436d-99d6-2892369010ec">1</Topic>
    <Document_x0020_Date xmlns="0edbdf58-cbf2-428a-80ab-aedffcd2a497">2020-10-28T08:50:00+00:00</Document_x0020_Date>
    <Document_x0020_Owner xmlns="0edbdf58-cbf2-428a-80ab-aedffcd2a497">
      <UserInfo>
        <DisplayName>Nicholas Earley</DisplayName>
        <AccountId>26</AccountId>
        <AccountType/>
      </UserInfo>
    </Document_x0020_Owner>
    <_dlc_DocId xmlns="aff16a55-4394-436d-99d6-2892369010ec">HUMANRES-5-1342</_dlc_DocId>
    <_dlc_DocIdUrl xmlns="aff16a55-4394-436d-99d6-2892369010ec">
      <Url>https://services.escc.gov.uk/sites/HR/_layouts/15/DocIdRedir.aspx?ID=HUMANRES-5-1342</Url>
      <Description>HUMANRES-5-1342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anagement" ma:contentTypeID="0x010100D0E410EB176E0C49978577D0663BF5670900668FF03F038FC74CBC687FB06B83F457" ma:contentTypeVersion="49" ma:contentTypeDescription="Any document that relates to the management of a service" ma:contentTypeScope="" ma:versionID="2f9372f196dc1564319636af19d1d375">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44b537c6ef75e5957dd16ce0f55f75a1"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0f1aa2c1d9443a8a05db9738a0b1b3"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0f1aa2c1d9443a8a05db9738a0b1b3" ma:index="11" ma:taxonomy="true" ma:internalName="nc0f1aa2c1d9443a8a05db9738a0b1b3" ma:taxonomyFieldName="Management_x0020_Document_x0020_Type" ma:displayName="Management Document Type" ma:default="" ma:fieldId="{7c0f1aa2-c1d9-443a-8a05-db9738a0b1b3}" ma:sspId="691f71b9-b64f-4844-8bf8-0e85b55a74e6" ma:termSetId="f4e4120c-d6b0-4a38-a803-66280fff655a" ma:anchorId="62b95dc9-f6c9-433b-a215-c6c81e28ff92"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00D0E410EB176E0C49978577D0663BF56709"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22AB7-28DB-4862-BF9A-B81F070FDD44}">
  <ds:schemaRefs>
    <ds:schemaRef ds:uri="http://schemas.microsoft.com/office/2006/metadata/properties"/>
    <ds:schemaRef ds:uri="http://schemas.microsoft.com/office/infopath/2007/PartnerControls"/>
    <ds:schemaRef ds:uri="aff16a55-4394-436d-99d6-2892369010ec"/>
    <ds:schemaRef ds:uri="0edbdf58-cbf2-428a-80ab-aedffcd2a497"/>
    <ds:schemaRef ds:uri="9247a8ba-6f59-4058-a2ca-129acc8b079d"/>
  </ds:schemaRefs>
</ds:datastoreItem>
</file>

<file path=customXml/itemProps2.xml><?xml version="1.0" encoding="utf-8"?>
<ds:datastoreItem xmlns:ds="http://schemas.openxmlformats.org/officeDocument/2006/customXml" ds:itemID="{55B2D694-ED7F-4F6A-B6EF-601E3E879981}">
  <ds:schemaRefs>
    <ds:schemaRef ds:uri="http://schemas.microsoft.com/sharepoint/v3/contenttype/forms"/>
  </ds:schemaRefs>
</ds:datastoreItem>
</file>

<file path=customXml/itemProps3.xml><?xml version="1.0" encoding="utf-8"?>
<ds:datastoreItem xmlns:ds="http://schemas.openxmlformats.org/officeDocument/2006/customXml" ds:itemID="{80BE0F24-60F5-48A2-A879-A763DF39B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3FC709-D9DA-457D-A756-2E40490932AE}">
  <ds:schemaRefs>
    <ds:schemaRef ds:uri="Microsoft.SharePoint.Taxonomy.ContentTypeSync"/>
  </ds:schemaRefs>
</ds:datastoreItem>
</file>

<file path=customXml/itemProps5.xml><?xml version="1.0" encoding="utf-8"?>
<ds:datastoreItem xmlns:ds="http://schemas.openxmlformats.org/officeDocument/2006/customXml" ds:itemID="{08BF6AEC-81F8-4079-8E30-DD6C371DE307}">
  <ds:schemaRefs>
    <ds:schemaRef ds:uri="http://schemas.microsoft.com/sharepoint/events"/>
  </ds:schemaRefs>
</ds:datastoreItem>
</file>

<file path=customXml/itemProps6.xml><?xml version="1.0" encoding="utf-8"?>
<ds:datastoreItem xmlns:ds="http://schemas.openxmlformats.org/officeDocument/2006/customXml" ds:itemID="{580EBA21-B148-400D-B5C2-73043D87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10624</Words>
  <Characters>60557</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Model Pay Policy</vt:lpstr>
    </vt:vector>
  </TitlesOfParts>
  <Company>East Sussex County Council</Company>
  <LinksUpToDate>false</LinksUpToDate>
  <CharactersWithSpaces>71039</CharactersWithSpaces>
  <SharedDoc>false</SharedDoc>
  <HLinks>
    <vt:vector size="192" baseType="variant">
      <vt:variant>
        <vt:i4>4587534</vt:i4>
      </vt:variant>
      <vt:variant>
        <vt:i4>147</vt:i4>
      </vt:variant>
      <vt:variant>
        <vt:i4>0</vt:i4>
      </vt:variant>
      <vt:variant>
        <vt:i4>5</vt:i4>
      </vt:variant>
      <vt:variant>
        <vt:lpwstr>https://www.gov.uk/search?q=teacher+standards</vt:lpwstr>
      </vt:variant>
      <vt:variant>
        <vt:lpwstr/>
      </vt:variant>
      <vt:variant>
        <vt:i4>1835053</vt:i4>
      </vt:variant>
      <vt:variant>
        <vt:i4>144</vt:i4>
      </vt:variant>
      <vt:variant>
        <vt:i4>0</vt:i4>
      </vt:variant>
      <vt:variant>
        <vt:i4>5</vt:i4>
      </vt:variant>
      <vt:variant>
        <vt:lpwstr/>
      </vt:variant>
      <vt:variant>
        <vt:lpwstr>_Introduction</vt:lpwstr>
      </vt:variant>
      <vt:variant>
        <vt:i4>5177451</vt:i4>
      </vt:variant>
      <vt:variant>
        <vt:i4>141</vt:i4>
      </vt:variant>
      <vt:variant>
        <vt:i4>0</vt:i4>
      </vt:variant>
      <vt:variant>
        <vt:i4>5</vt:i4>
      </vt:variant>
      <vt:variant>
        <vt:lpwstr>mailto:job.evaluation@eastsussex.gov.uk</vt:lpwstr>
      </vt:variant>
      <vt:variant>
        <vt:lpwstr/>
      </vt:variant>
      <vt:variant>
        <vt:i4>720899</vt:i4>
      </vt:variant>
      <vt:variant>
        <vt:i4>138</vt:i4>
      </vt:variant>
      <vt:variant>
        <vt:i4>0</vt:i4>
      </vt:variant>
      <vt:variant>
        <vt:i4>5</vt:i4>
      </vt:variant>
      <vt:variant>
        <vt:lpwstr>https://www.eastsussex.gov.uk/jobs/benefits/pay/</vt:lpwstr>
      </vt:variant>
      <vt:variant>
        <vt:lpwstr/>
      </vt:variant>
      <vt:variant>
        <vt:i4>4792354</vt:i4>
      </vt:variant>
      <vt:variant>
        <vt:i4>135</vt:i4>
      </vt:variant>
      <vt:variant>
        <vt:i4>0</vt:i4>
      </vt:variant>
      <vt:variant>
        <vt:i4>5</vt:i4>
      </vt:variant>
      <vt:variant>
        <vt:lpwstr/>
      </vt:variant>
      <vt:variant>
        <vt:lpwstr>_Appendix_G_–_1</vt:lpwstr>
      </vt:variant>
      <vt:variant>
        <vt:i4>1441840</vt:i4>
      </vt:variant>
      <vt:variant>
        <vt:i4>132</vt:i4>
      </vt:variant>
      <vt:variant>
        <vt:i4>0</vt:i4>
      </vt:variant>
      <vt:variant>
        <vt:i4>5</vt:i4>
      </vt:variant>
      <vt:variant>
        <vt:lpwstr/>
      </vt:variant>
      <vt:variant>
        <vt:lpwstr>_Appendix_F_–</vt:lpwstr>
      </vt:variant>
      <vt:variant>
        <vt:i4>5046348</vt:i4>
      </vt:variant>
      <vt:variant>
        <vt:i4>129</vt:i4>
      </vt:variant>
      <vt:variant>
        <vt:i4>0</vt:i4>
      </vt:variant>
      <vt:variant>
        <vt:i4>5</vt:i4>
      </vt:variant>
      <vt:variant>
        <vt:lpwstr>https://set.et-foundation.co.uk/professionalism/qtls/equivalence-of-qtls-and-qts/</vt:lpwstr>
      </vt:variant>
      <vt:variant>
        <vt:lpwstr/>
      </vt:variant>
      <vt:variant>
        <vt:i4>1441843</vt:i4>
      </vt:variant>
      <vt:variant>
        <vt:i4>126</vt:i4>
      </vt:variant>
      <vt:variant>
        <vt:i4>0</vt:i4>
      </vt:variant>
      <vt:variant>
        <vt:i4>5</vt:i4>
      </vt:variant>
      <vt:variant>
        <vt:lpwstr/>
      </vt:variant>
      <vt:variant>
        <vt:lpwstr>_Appendix_E_–</vt:lpwstr>
      </vt:variant>
      <vt:variant>
        <vt:i4>1441843</vt:i4>
      </vt:variant>
      <vt:variant>
        <vt:i4>123</vt:i4>
      </vt:variant>
      <vt:variant>
        <vt:i4>0</vt:i4>
      </vt:variant>
      <vt:variant>
        <vt:i4>5</vt:i4>
      </vt:variant>
      <vt:variant>
        <vt:lpwstr/>
      </vt:variant>
      <vt:variant>
        <vt:lpwstr>_Appendix_E_-</vt:lpwstr>
      </vt:variant>
      <vt:variant>
        <vt:i4>1441845</vt:i4>
      </vt:variant>
      <vt:variant>
        <vt:i4>120</vt:i4>
      </vt:variant>
      <vt:variant>
        <vt:i4>0</vt:i4>
      </vt:variant>
      <vt:variant>
        <vt:i4>5</vt:i4>
      </vt:variant>
      <vt:variant>
        <vt:lpwstr/>
      </vt:variant>
      <vt:variant>
        <vt:lpwstr>_Appendix_C_-</vt:lpwstr>
      </vt:variant>
      <vt:variant>
        <vt:i4>1441844</vt:i4>
      </vt:variant>
      <vt:variant>
        <vt:i4>117</vt:i4>
      </vt:variant>
      <vt:variant>
        <vt:i4>0</vt:i4>
      </vt:variant>
      <vt:variant>
        <vt:i4>5</vt:i4>
      </vt:variant>
      <vt:variant>
        <vt:lpwstr/>
      </vt:variant>
      <vt:variant>
        <vt:lpwstr>_Appendix_B_–</vt:lpwstr>
      </vt:variant>
      <vt:variant>
        <vt:i4>1441847</vt:i4>
      </vt:variant>
      <vt:variant>
        <vt:i4>114</vt:i4>
      </vt:variant>
      <vt:variant>
        <vt:i4>0</vt:i4>
      </vt:variant>
      <vt:variant>
        <vt:i4>5</vt:i4>
      </vt:variant>
      <vt:variant>
        <vt:lpwstr/>
      </vt:variant>
      <vt:variant>
        <vt:lpwstr>_Appendix_A_-</vt:lpwstr>
      </vt:variant>
      <vt:variant>
        <vt:i4>1966117</vt:i4>
      </vt:variant>
      <vt:variant>
        <vt:i4>111</vt:i4>
      </vt:variant>
      <vt:variant>
        <vt:i4>0</vt:i4>
      </vt:variant>
      <vt:variant>
        <vt:i4>5</vt:i4>
      </vt:variant>
      <vt:variant>
        <vt:lpwstr>mailto:janet.bowen@eastsussex.gov.uk</vt:lpwstr>
      </vt:variant>
      <vt:variant>
        <vt:lpwstr/>
      </vt:variant>
      <vt:variant>
        <vt:i4>6422640</vt:i4>
      </vt:variant>
      <vt:variant>
        <vt:i4>108</vt:i4>
      </vt:variant>
      <vt:variant>
        <vt:i4>0</vt:i4>
      </vt:variant>
      <vt:variant>
        <vt:i4>5</vt:i4>
      </vt:variant>
      <vt:variant>
        <vt:lpwstr>mailto:</vt:lpwstr>
      </vt:variant>
      <vt:variant>
        <vt:lpwstr/>
      </vt:variant>
      <vt:variant>
        <vt:i4>1179698</vt:i4>
      </vt:variant>
      <vt:variant>
        <vt:i4>101</vt:i4>
      </vt:variant>
      <vt:variant>
        <vt:i4>0</vt:i4>
      </vt:variant>
      <vt:variant>
        <vt:i4>5</vt:i4>
      </vt:variant>
      <vt:variant>
        <vt:lpwstr/>
      </vt:variant>
      <vt:variant>
        <vt:lpwstr>_Toc462753177</vt:lpwstr>
      </vt:variant>
      <vt:variant>
        <vt:i4>1179698</vt:i4>
      </vt:variant>
      <vt:variant>
        <vt:i4>95</vt:i4>
      </vt:variant>
      <vt:variant>
        <vt:i4>0</vt:i4>
      </vt:variant>
      <vt:variant>
        <vt:i4>5</vt:i4>
      </vt:variant>
      <vt:variant>
        <vt:lpwstr/>
      </vt:variant>
      <vt:variant>
        <vt:lpwstr>_Toc462753176</vt:lpwstr>
      </vt:variant>
      <vt:variant>
        <vt:i4>1179698</vt:i4>
      </vt:variant>
      <vt:variant>
        <vt:i4>89</vt:i4>
      </vt:variant>
      <vt:variant>
        <vt:i4>0</vt:i4>
      </vt:variant>
      <vt:variant>
        <vt:i4>5</vt:i4>
      </vt:variant>
      <vt:variant>
        <vt:lpwstr/>
      </vt:variant>
      <vt:variant>
        <vt:lpwstr>_Toc462753175</vt:lpwstr>
      </vt:variant>
      <vt:variant>
        <vt:i4>1179698</vt:i4>
      </vt:variant>
      <vt:variant>
        <vt:i4>83</vt:i4>
      </vt:variant>
      <vt:variant>
        <vt:i4>0</vt:i4>
      </vt:variant>
      <vt:variant>
        <vt:i4>5</vt:i4>
      </vt:variant>
      <vt:variant>
        <vt:lpwstr/>
      </vt:variant>
      <vt:variant>
        <vt:lpwstr>_Toc462753174</vt:lpwstr>
      </vt:variant>
      <vt:variant>
        <vt:i4>1179698</vt:i4>
      </vt:variant>
      <vt:variant>
        <vt:i4>77</vt:i4>
      </vt:variant>
      <vt:variant>
        <vt:i4>0</vt:i4>
      </vt:variant>
      <vt:variant>
        <vt:i4>5</vt:i4>
      </vt:variant>
      <vt:variant>
        <vt:lpwstr/>
      </vt:variant>
      <vt:variant>
        <vt:lpwstr>_Toc462753173</vt:lpwstr>
      </vt:variant>
      <vt:variant>
        <vt:i4>1179698</vt:i4>
      </vt:variant>
      <vt:variant>
        <vt:i4>71</vt:i4>
      </vt:variant>
      <vt:variant>
        <vt:i4>0</vt:i4>
      </vt:variant>
      <vt:variant>
        <vt:i4>5</vt:i4>
      </vt:variant>
      <vt:variant>
        <vt:lpwstr/>
      </vt:variant>
      <vt:variant>
        <vt:lpwstr>_Toc462753172</vt:lpwstr>
      </vt:variant>
      <vt:variant>
        <vt:i4>1179698</vt:i4>
      </vt:variant>
      <vt:variant>
        <vt:i4>65</vt:i4>
      </vt:variant>
      <vt:variant>
        <vt:i4>0</vt:i4>
      </vt:variant>
      <vt:variant>
        <vt:i4>5</vt:i4>
      </vt:variant>
      <vt:variant>
        <vt:lpwstr/>
      </vt:variant>
      <vt:variant>
        <vt:lpwstr>_Toc462753171</vt:lpwstr>
      </vt:variant>
      <vt:variant>
        <vt:i4>1245234</vt:i4>
      </vt:variant>
      <vt:variant>
        <vt:i4>59</vt:i4>
      </vt:variant>
      <vt:variant>
        <vt:i4>0</vt:i4>
      </vt:variant>
      <vt:variant>
        <vt:i4>5</vt:i4>
      </vt:variant>
      <vt:variant>
        <vt:lpwstr/>
      </vt:variant>
      <vt:variant>
        <vt:lpwstr>_Toc462753169</vt:lpwstr>
      </vt:variant>
      <vt:variant>
        <vt:i4>1245234</vt:i4>
      </vt:variant>
      <vt:variant>
        <vt:i4>53</vt:i4>
      </vt:variant>
      <vt:variant>
        <vt:i4>0</vt:i4>
      </vt:variant>
      <vt:variant>
        <vt:i4>5</vt:i4>
      </vt:variant>
      <vt:variant>
        <vt:lpwstr/>
      </vt:variant>
      <vt:variant>
        <vt:lpwstr>_Toc462753168</vt:lpwstr>
      </vt:variant>
      <vt:variant>
        <vt:i4>1245234</vt:i4>
      </vt:variant>
      <vt:variant>
        <vt:i4>47</vt:i4>
      </vt:variant>
      <vt:variant>
        <vt:i4>0</vt:i4>
      </vt:variant>
      <vt:variant>
        <vt:i4>5</vt:i4>
      </vt:variant>
      <vt:variant>
        <vt:lpwstr/>
      </vt:variant>
      <vt:variant>
        <vt:lpwstr>_Toc462753167</vt:lpwstr>
      </vt:variant>
      <vt:variant>
        <vt:i4>1245234</vt:i4>
      </vt:variant>
      <vt:variant>
        <vt:i4>41</vt:i4>
      </vt:variant>
      <vt:variant>
        <vt:i4>0</vt:i4>
      </vt:variant>
      <vt:variant>
        <vt:i4>5</vt:i4>
      </vt:variant>
      <vt:variant>
        <vt:lpwstr/>
      </vt:variant>
      <vt:variant>
        <vt:lpwstr>_Toc462753166</vt:lpwstr>
      </vt:variant>
      <vt:variant>
        <vt:i4>1245234</vt:i4>
      </vt:variant>
      <vt:variant>
        <vt:i4>35</vt:i4>
      </vt:variant>
      <vt:variant>
        <vt:i4>0</vt:i4>
      </vt:variant>
      <vt:variant>
        <vt:i4>5</vt:i4>
      </vt:variant>
      <vt:variant>
        <vt:lpwstr/>
      </vt:variant>
      <vt:variant>
        <vt:lpwstr>_Toc462753165</vt:lpwstr>
      </vt:variant>
      <vt:variant>
        <vt:i4>1245234</vt:i4>
      </vt:variant>
      <vt:variant>
        <vt:i4>29</vt:i4>
      </vt:variant>
      <vt:variant>
        <vt:i4>0</vt:i4>
      </vt:variant>
      <vt:variant>
        <vt:i4>5</vt:i4>
      </vt:variant>
      <vt:variant>
        <vt:lpwstr/>
      </vt:variant>
      <vt:variant>
        <vt:lpwstr>_Toc462753164</vt:lpwstr>
      </vt:variant>
      <vt:variant>
        <vt:i4>1245234</vt:i4>
      </vt:variant>
      <vt:variant>
        <vt:i4>23</vt:i4>
      </vt:variant>
      <vt:variant>
        <vt:i4>0</vt:i4>
      </vt:variant>
      <vt:variant>
        <vt:i4>5</vt:i4>
      </vt:variant>
      <vt:variant>
        <vt:lpwstr/>
      </vt:variant>
      <vt:variant>
        <vt:lpwstr>_Toc462753163</vt:lpwstr>
      </vt:variant>
      <vt:variant>
        <vt:i4>1245234</vt:i4>
      </vt:variant>
      <vt:variant>
        <vt:i4>17</vt:i4>
      </vt:variant>
      <vt:variant>
        <vt:i4>0</vt:i4>
      </vt:variant>
      <vt:variant>
        <vt:i4>5</vt:i4>
      </vt:variant>
      <vt:variant>
        <vt:lpwstr/>
      </vt:variant>
      <vt:variant>
        <vt:lpwstr>_Toc462753162</vt:lpwstr>
      </vt:variant>
      <vt:variant>
        <vt:i4>1245234</vt:i4>
      </vt:variant>
      <vt:variant>
        <vt:i4>11</vt:i4>
      </vt:variant>
      <vt:variant>
        <vt:i4>0</vt:i4>
      </vt:variant>
      <vt:variant>
        <vt:i4>5</vt:i4>
      </vt:variant>
      <vt:variant>
        <vt:lpwstr/>
      </vt:variant>
      <vt:variant>
        <vt:lpwstr>_Toc462753161</vt:lpwstr>
      </vt:variant>
      <vt:variant>
        <vt:i4>1245234</vt:i4>
      </vt:variant>
      <vt:variant>
        <vt:i4>5</vt:i4>
      </vt:variant>
      <vt:variant>
        <vt:i4>0</vt:i4>
      </vt:variant>
      <vt:variant>
        <vt:i4>5</vt:i4>
      </vt:variant>
      <vt:variant>
        <vt:lpwstr/>
      </vt:variant>
      <vt:variant>
        <vt:lpwstr>_Toc462753160</vt:lpwstr>
      </vt:variant>
      <vt:variant>
        <vt:i4>6029407</vt:i4>
      </vt:variant>
      <vt:variant>
        <vt:i4>0</vt:i4>
      </vt:variant>
      <vt:variant>
        <vt:i4>0</vt:i4>
      </vt:variant>
      <vt:variant>
        <vt:i4>5</vt:i4>
      </vt:variant>
      <vt:variant>
        <vt:lpwstr>http://www.eastsussex.gov.uk/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Pay Policy</dc:title>
  <dc:subject>Disciplinary rules and procedures provide guidance to employees on the standards and conduct expected of them and a mechanism to deal with the consequences of failing to meet such standards.</dc:subject>
  <dc:creator>HR Strategy Team</dc:creator>
  <cp:keywords>Pay, Teacher, School</cp:keywords>
  <cp:lastModifiedBy>Matt Dean</cp:lastModifiedBy>
  <cp:revision>2</cp:revision>
  <cp:lastPrinted>2020-11-24T13:40:00Z</cp:lastPrinted>
  <dcterms:created xsi:type="dcterms:W3CDTF">2020-11-24T13:40:00Z</dcterms:created>
  <dcterms:modified xsi:type="dcterms:W3CDTF">2020-11-24T13:40:00Z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86;#ESCC\adc_jpvgdcxxolpefqpv</vt:lpwstr>
  </property>
  <property fmtid="{D5CDD505-2E9C-101B-9397-08002B2CF9AE}" pid="3" name="Egms_Publisher">
    <vt:lpwstr>East Sussex County Council</vt:lpwstr>
  </property>
  <property fmtid="{D5CDD505-2E9C-101B-9397-08002B2CF9AE}" pid="4" name="ContentType">
    <vt:lpwstr>ESCC document</vt:lpwstr>
  </property>
  <property fmtid="{D5CDD505-2E9C-101B-9397-08002B2CF9AE}" pid="5" name="Language">
    <vt:lpwstr>English</vt:lpwstr>
  </property>
  <property fmtid="{D5CDD505-2E9C-101B-9397-08002B2CF9AE}" pid="6" name="Comments">
    <vt:lpwstr>Quickly and easily create documents for reading onscreen with this Word template - uses colour in Heading 1.</vt:lpwstr>
  </property>
  <property fmtid="{D5CDD505-2E9C-101B-9397-08002B2CF9AE}" pid="7" name="IPSV_preferred">
    <vt:lpwstr>Electronic publishing; Electronic document and records management systems; Access for disabled people; Standards and specifications; Communication; Branding; Corporate image;</vt:lpwstr>
  </property>
  <property fmtid="{D5CDD505-2E9C-101B-9397-08002B2CF9AE}" pid="8" name="display_urn:schemas-microsoft-com:office:office#Egms_Creator">
    <vt:lpwstr>Corporate Training</vt:lpwstr>
  </property>
  <property fmtid="{D5CDD505-2E9C-101B-9397-08002B2CF9AE}" pid="9" name="Egms_Creator_Service">
    <vt:lpwstr>Corporate training and development</vt:lpwstr>
  </property>
  <property fmtid="{D5CDD505-2E9C-101B-9397-08002B2CF9AE}" pid="10" name="ContentTypeId">
    <vt:lpwstr>0x010100D0E410EB176E0C49978577D0663BF5670900668FF03F038FC74CBC687FB06B83F457</vt:lpwstr>
  </property>
  <property fmtid="{D5CDD505-2E9C-101B-9397-08002B2CF9AE}" pid="11" name="TaxCatchAll">
    <vt:lpwstr/>
  </property>
  <property fmtid="{D5CDD505-2E9C-101B-9397-08002B2CF9AE}" pid="12" name="Protective Marking">
    <vt:lpwstr>OFFICIAL – DISCLOSABLE</vt:lpwstr>
  </property>
  <property fmtid="{D5CDD505-2E9C-101B-9397-08002B2CF9AE}" pid="13" name="l2a2c13191bf4335b2c36228ef62c53e">
    <vt:lpwstr>Pay and Reward|ef84446c-0146-49a0-b0f0-a0e73d76b7aa</vt:lpwstr>
  </property>
  <property fmtid="{D5CDD505-2E9C-101B-9397-08002B2CF9AE}" pid="14" name="Financial Year">
    <vt:lpwstr/>
  </property>
  <property fmtid="{D5CDD505-2E9C-101B-9397-08002B2CF9AE}" pid="15" name="Document Date">
    <vt:lpwstr>2016-09-26T16:09:05Z</vt:lpwstr>
  </property>
  <property fmtid="{D5CDD505-2E9C-101B-9397-08002B2CF9AE}" pid="16" name="Document Owner">
    <vt:lpwstr>24;#Tracey Harwood</vt:lpwstr>
  </property>
  <property fmtid="{D5CDD505-2E9C-101B-9397-08002B2CF9AE}" pid="17" name="Advisory Workstream">
    <vt:lpwstr>1;#</vt:lpwstr>
  </property>
  <property fmtid="{D5CDD505-2E9C-101B-9397-08002B2CF9AE}" pid="18" name="Management Document Type">
    <vt:lpwstr>2;#Policy|64f3b0cb-aba1-46e8-9324-d156c822b1e5</vt:lpwstr>
  </property>
  <property fmtid="{D5CDD505-2E9C-101B-9397-08002B2CF9AE}" pid="19" name="Staff Document Type">
    <vt:lpwstr>6;#Pay and Reward|ef84446c-0146-49a0-b0f0-a0e73d76b7aa</vt:lpwstr>
  </property>
  <property fmtid="{D5CDD505-2E9C-101B-9397-08002B2CF9AE}" pid="20" name="_dlc_policyId">
    <vt:lpwstr/>
  </property>
  <property fmtid="{D5CDD505-2E9C-101B-9397-08002B2CF9AE}" pid="21" name="ItemRetentionFormula">
    <vt:lpwstr/>
  </property>
  <property fmtid="{D5CDD505-2E9C-101B-9397-08002B2CF9AE}" pid="22" name="_dlc_DocIdItemGuid">
    <vt:lpwstr>52b925c7-3507-4ab9-9dd1-8650412d347f</vt:lpwstr>
  </property>
</Properties>
</file>